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142F" w:rsidRPr="00111DE3" w:rsidP="00E9142F" w14:paraId="621ECF55" w14:textId="1016869E">
      <w:pPr>
        <w:pStyle w:val="Title"/>
        <w:rPr>
          <w:rFonts w:ascii="Times New Roman" w:hAnsi="Times New Roman"/>
          <w:sz w:val="28"/>
          <w:szCs w:val="28"/>
          <w:u w:val="none"/>
        </w:rPr>
      </w:pPr>
      <w:r w:rsidRPr="00111DE3">
        <w:rPr>
          <w:rFonts w:ascii="Times New Roman" w:hAnsi="Times New Roman"/>
          <w:sz w:val="28"/>
          <w:szCs w:val="28"/>
          <w:u w:val="none"/>
        </w:rPr>
        <w:t>Department of Transportation</w:t>
      </w:r>
    </w:p>
    <w:p w:rsidR="00E9142F" w:rsidRPr="00111DE3" w:rsidP="00E9142F" w14:paraId="5304E1D8" w14:textId="77777777">
      <w:pPr>
        <w:pStyle w:val="Title"/>
        <w:outlineLvl w:val="0"/>
        <w:rPr>
          <w:rFonts w:ascii="Times New Roman" w:hAnsi="Times New Roman"/>
          <w:sz w:val="28"/>
          <w:szCs w:val="28"/>
        </w:rPr>
      </w:pPr>
      <w:r w:rsidRPr="00111DE3">
        <w:rPr>
          <w:rFonts w:ascii="Times New Roman" w:hAnsi="Times New Roman"/>
          <w:sz w:val="28"/>
          <w:szCs w:val="28"/>
          <w:u w:val="none"/>
        </w:rPr>
        <w:t>Federal Motor Carrier Safety Administration</w:t>
      </w:r>
    </w:p>
    <w:p w:rsidR="00E9142F" w:rsidRPr="003257A6" w:rsidP="00E9142F" w14:paraId="5A5CF723" w14:textId="77777777">
      <w:pPr>
        <w:pStyle w:val="Title"/>
        <w:rPr>
          <w:rFonts w:ascii="Times New Roman" w:hAnsi="Times New Roman"/>
          <w:b w:val="0"/>
        </w:rPr>
      </w:pPr>
    </w:p>
    <w:p w:rsidR="00E9142F" w:rsidRPr="00644586" w:rsidP="00111DE3" w14:paraId="3B81CD8F" w14:textId="77777777">
      <w:pPr>
        <w:pStyle w:val="Title"/>
        <w:outlineLvl w:val="0"/>
        <w:rPr>
          <w:rFonts w:ascii="Times New Roman" w:hAnsi="Times New Roman"/>
        </w:rPr>
      </w:pPr>
      <w:r w:rsidRPr="00644586">
        <w:rPr>
          <w:rFonts w:ascii="Times New Roman" w:hAnsi="Times New Roman"/>
        </w:rPr>
        <w:t>SUPPORTING STATEMENT</w:t>
      </w:r>
    </w:p>
    <w:p w:rsidR="00E9142F" w:rsidP="00111DE3" w14:paraId="0EE4661E" w14:textId="121B1992">
      <w:pPr>
        <w:pStyle w:val="Title"/>
        <w:rPr>
          <w:rFonts w:ascii="Times New Roman" w:hAnsi="Times New Roman"/>
          <w:u w:val="none"/>
        </w:rPr>
      </w:pPr>
      <w:r>
        <w:rPr>
          <w:rFonts w:ascii="Times New Roman" w:hAnsi="Times New Roman"/>
          <w:u w:val="none"/>
        </w:rPr>
        <w:t>“</w:t>
      </w:r>
      <w:r w:rsidRPr="00644586" w:rsidR="00B80E50">
        <w:rPr>
          <w:rFonts w:ascii="Times New Roman" w:hAnsi="Times New Roman"/>
          <w:u w:val="none"/>
        </w:rPr>
        <w:t>Unified Registration System, FMCSA Registration/Updates</w:t>
      </w:r>
      <w:r>
        <w:rPr>
          <w:rFonts w:ascii="Times New Roman" w:hAnsi="Times New Roman"/>
          <w:u w:val="none"/>
        </w:rPr>
        <w:t>” ICR</w:t>
      </w:r>
    </w:p>
    <w:p w:rsidR="001C375F" w:rsidRPr="00644586" w:rsidP="00111DE3" w14:paraId="7C0A3497" w14:textId="4A858319">
      <w:pPr>
        <w:pStyle w:val="Title"/>
        <w:rPr>
          <w:rFonts w:ascii="Times New Roman" w:hAnsi="Times New Roman"/>
          <w:u w:val="none"/>
        </w:rPr>
      </w:pPr>
      <w:r>
        <w:rPr>
          <w:rFonts w:ascii="Times New Roman" w:hAnsi="Times New Roman"/>
          <w:u w:val="none"/>
        </w:rPr>
        <w:t>OMB Control No. 2126-0051</w:t>
      </w:r>
    </w:p>
    <w:p w:rsidR="00E9142F" w:rsidRPr="00697D42" w:rsidP="00E9142F" w14:paraId="6B2E3D3A" w14:textId="77777777">
      <w:pPr>
        <w:rPr>
          <w:rFonts w:ascii="Times New Roman" w:hAnsi="Times New Roman"/>
          <w:sz w:val="24"/>
          <w:szCs w:val="24"/>
        </w:rPr>
      </w:pPr>
    </w:p>
    <w:p w:rsidR="00111DE3" w:rsidRPr="00697D42" w:rsidP="00E9142F" w14:paraId="01B95A16" w14:textId="77777777">
      <w:pPr>
        <w:pStyle w:val="Subtitle"/>
        <w:outlineLvl w:val="0"/>
        <w:rPr>
          <w:rFonts w:ascii="Times New Roman" w:hAnsi="Times New Roman"/>
          <w:b w:val="0"/>
          <w:bCs w:val="0"/>
        </w:rPr>
      </w:pPr>
    </w:p>
    <w:p w:rsidR="00111DE3" w:rsidP="00111DE3" w14:paraId="6458F920" w14:textId="77777777">
      <w:pPr>
        <w:rPr>
          <w:rFonts w:ascii="Times New Roman" w:hAnsi="Times New Roman"/>
          <w:b/>
          <w:sz w:val="24"/>
          <w:szCs w:val="24"/>
          <w:u w:val="single"/>
        </w:rPr>
      </w:pPr>
      <w:r w:rsidRPr="00C9162C">
        <w:rPr>
          <w:rFonts w:ascii="Times New Roman" w:hAnsi="Times New Roman"/>
          <w:b/>
          <w:sz w:val="24"/>
          <w:szCs w:val="24"/>
          <w:u w:val="single"/>
        </w:rPr>
        <w:t>SUMMARY</w:t>
      </w:r>
    </w:p>
    <w:p w:rsidR="00A542B9" w:rsidRPr="00697D42" w:rsidP="00111DE3" w14:paraId="47ECE897" w14:textId="77777777">
      <w:pPr>
        <w:rPr>
          <w:rFonts w:ascii="Times New Roman" w:hAnsi="Times New Roman"/>
          <w:bCs/>
          <w:sz w:val="24"/>
          <w:szCs w:val="24"/>
        </w:rPr>
      </w:pPr>
    </w:p>
    <w:p w:rsidR="00A36374" w:rsidP="00A138F9" w14:paraId="2691736B" w14:textId="62594C44">
      <w:pPr>
        <w:widowControl/>
        <w:numPr>
          <w:ilvl w:val="0"/>
          <w:numId w:val="42"/>
        </w:numPr>
        <w:tabs>
          <w:tab w:val="left" w:pos="360"/>
        </w:tabs>
        <w:autoSpaceDE/>
        <w:autoSpaceDN/>
        <w:adjustRightInd/>
        <w:ind w:left="360"/>
        <w:rPr>
          <w:rFonts w:ascii="Times New Roman" w:hAnsi="Times New Roman"/>
          <w:sz w:val="24"/>
          <w:szCs w:val="24"/>
        </w:rPr>
      </w:pPr>
      <w:r>
        <w:rPr>
          <w:rFonts w:ascii="Times New Roman" w:hAnsi="Times New Roman"/>
          <w:sz w:val="24"/>
          <w:szCs w:val="24"/>
        </w:rPr>
        <w:t xml:space="preserve">This </w:t>
      </w:r>
      <w:r w:rsidR="000959D8">
        <w:rPr>
          <w:rFonts w:ascii="Times New Roman" w:hAnsi="Times New Roman"/>
          <w:sz w:val="24"/>
          <w:szCs w:val="24"/>
        </w:rPr>
        <w:t xml:space="preserve">is a </w:t>
      </w:r>
      <w:r>
        <w:rPr>
          <w:rFonts w:ascii="Times New Roman" w:hAnsi="Times New Roman"/>
          <w:sz w:val="24"/>
          <w:szCs w:val="24"/>
        </w:rPr>
        <w:t xml:space="preserve">request for </w:t>
      </w:r>
      <w:r w:rsidR="000959D8">
        <w:rPr>
          <w:rFonts w:ascii="Times New Roman" w:hAnsi="Times New Roman"/>
          <w:sz w:val="24"/>
          <w:szCs w:val="24"/>
        </w:rPr>
        <w:t>approval for the</w:t>
      </w:r>
      <w:r>
        <w:rPr>
          <w:rFonts w:ascii="Times New Roman" w:hAnsi="Times New Roman"/>
          <w:sz w:val="24"/>
          <w:szCs w:val="24"/>
        </w:rPr>
        <w:t xml:space="preserve"> renewal of a currently approved </w:t>
      </w:r>
      <w:r w:rsidR="00E87846">
        <w:rPr>
          <w:rFonts w:ascii="Times New Roman" w:hAnsi="Times New Roman"/>
          <w:sz w:val="24"/>
          <w:szCs w:val="24"/>
        </w:rPr>
        <w:t>information collection (IC), “</w:t>
      </w:r>
      <w:r w:rsidR="000959D8">
        <w:rPr>
          <w:rFonts w:ascii="Times New Roman" w:hAnsi="Times New Roman"/>
          <w:sz w:val="24"/>
          <w:szCs w:val="24"/>
        </w:rPr>
        <w:t>Unified Registration System, FMCSA Registration/Updates</w:t>
      </w:r>
      <w:r w:rsidR="00EA0D64">
        <w:rPr>
          <w:rFonts w:ascii="Times New Roman" w:hAnsi="Times New Roman"/>
          <w:sz w:val="24"/>
          <w:szCs w:val="24"/>
        </w:rPr>
        <w:t>,</w:t>
      </w:r>
      <w:r w:rsidR="00E87846">
        <w:rPr>
          <w:rFonts w:ascii="Times New Roman" w:hAnsi="Times New Roman"/>
          <w:sz w:val="24"/>
          <w:szCs w:val="24"/>
        </w:rPr>
        <w:t>”</w:t>
      </w:r>
      <w:r w:rsidR="000959D8">
        <w:rPr>
          <w:rFonts w:ascii="Times New Roman" w:hAnsi="Times New Roman"/>
          <w:sz w:val="24"/>
          <w:szCs w:val="24"/>
        </w:rPr>
        <w:t xml:space="preserve"> </w:t>
      </w:r>
      <w:r w:rsidR="00EA0D64">
        <w:rPr>
          <w:rFonts w:ascii="Times New Roman" w:hAnsi="Times New Roman"/>
          <w:sz w:val="24"/>
          <w:szCs w:val="24"/>
        </w:rPr>
        <w:t>OMB control number 2126-0051</w:t>
      </w:r>
      <w:r>
        <w:rPr>
          <w:rFonts w:ascii="Times New Roman" w:hAnsi="Times New Roman"/>
          <w:sz w:val="24"/>
          <w:szCs w:val="24"/>
        </w:rPr>
        <w:t>.</w:t>
      </w:r>
    </w:p>
    <w:p w:rsidR="00A36374" w:rsidRPr="00A12F6B" w:rsidP="00A12F6B" w14:paraId="5EE48219" w14:textId="7559D45F">
      <w:pPr>
        <w:widowControl/>
        <w:numPr>
          <w:ilvl w:val="0"/>
          <w:numId w:val="42"/>
        </w:numPr>
        <w:tabs>
          <w:tab w:val="left" w:pos="360"/>
        </w:tabs>
        <w:autoSpaceDE/>
        <w:autoSpaceDN/>
        <w:adjustRightInd/>
        <w:ind w:left="360"/>
        <w:rPr>
          <w:rFonts w:ascii="Times New Roman" w:hAnsi="Times New Roman"/>
          <w:sz w:val="24"/>
          <w:szCs w:val="24"/>
        </w:rPr>
      </w:pPr>
      <w:bookmarkStart w:id="0" w:name="_Hlk207098078"/>
      <w:bookmarkStart w:id="1" w:name="_Hlk207099370"/>
      <w:r w:rsidRPr="00A12F6B">
        <w:rPr>
          <w:rFonts w:ascii="Times New Roman" w:hAnsi="Times New Roman"/>
          <w:sz w:val="24"/>
          <w:szCs w:val="24"/>
        </w:rPr>
        <w:t>Th</w:t>
      </w:r>
      <w:r w:rsidRPr="00A12F6B" w:rsidR="000959D8">
        <w:rPr>
          <w:rFonts w:ascii="Times New Roman" w:hAnsi="Times New Roman"/>
          <w:sz w:val="24"/>
          <w:szCs w:val="24"/>
        </w:rPr>
        <w:t>e</w:t>
      </w:r>
      <w:r w:rsidRPr="00A12F6B" w:rsidR="64DA97E6">
        <w:rPr>
          <w:rFonts w:ascii="Times New Roman" w:hAnsi="Times New Roman"/>
          <w:sz w:val="24"/>
          <w:szCs w:val="24"/>
        </w:rPr>
        <w:t>re is one IC and the</w:t>
      </w:r>
      <w:r w:rsidRPr="00A12F6B" w:rsidR="000959D8">
        <w:rPr>
          <w:rFonts w:ascii="Times New Roman" w:hAnsi="Times New Roman"/>
          <w:sz w:val="24"/>
          <w:szCs w:val="24"/>
        </w:rPr>
        <w:t xml:space="preserve"> estimated annual respondents</w:t>
      </w:r>
      <w:r w:rsidRPr="00A12F6B" w:rsidR="00AD370B">
        <w:rPr>
          <w:rFonts w:ascii="Times New Roman" w:hAnsi="Times New Roman"/>
          <w:sz w:val="24"/>
          <w:szCs w:val="24"/>
        </w:rPr>
        <w:t>/responses</w:t>
      </w:r>
      <w:r w:rsidRPr="00A12F6B" w:rsidR="000959D8">
        <w:rPr>
          <w:rFonts w:ascii="Times New Roman" w:hAnsi="Times New Roman"/>
          <w:sz w:val="24"/>
          <w:szCs w:val="24"/>
        </w:rPr>
        <w:t xml:space="preserve"> for </w:t>
      </w:r>
      <w:r w:rsidRPr="00A12F6B" w:rsidR="006576C7">
        <w:rPr>
          <w:rFonts w:ascii="Times New Roman" w:hAnsi="Times New Roman"/>
          <w:sz w:val="24"/>
          <w:szCs w:val="24"/>
        </w:rPr>
        <w:t xml:space="preserve">the </w:t>
      </w:r>
      <w:r w:rsidRPr="00A12F6B" w:rsidR="000959D8">
        <w:rPr>
          <w:rFonts w:ascii="Times New Roman" w:hAnsi="Times New Roman"/>
          <w:sz w:val="24"/>
          <w:szCs w:val="24"/>
        </w:rPr>
        <w:t xml:space="preserve">Form MCSA-1 increased from </w:t>
      </w:r>
      <w:r w:rsidRPr="00A12F6B" w:rsidR="00AD370B">
        <w:rPr>
          <w:rFonts w:ascii="Times New Roman" w:hAnsi="Times New Roman"/>
          <w:sz w:val="24"/>
          <w:szCs w:val="24"/>
        </w:rPr>
        <w:t>94,619</w:t>
      </w:r>
      <w:r w:rsidRPr="00A12F6B" w:rsidR="000959D8">
        <w:rPr>
          <w:rFonts w:ascii="Times New Roman" w:hAnsi="Times New Roman"/>
          <w:sz w:val="24"/>
          <w:szCs w:val="24"/>
        </w:rPr>
        <w:t xml:space="preserve"> in the previously approved </w:t>
      </w:r>
      <w:r w:rsidRPr="00A12F6B">
        <w:rPr>
          <w:rFonts w:ascii="Times New Roman" w:hAnsi="Times New Roman"/>
          <w:sz w:val="24"/>
          <w:szCs w:val="24"/>
        </w:rPr>
        <w:t xml:space="preserve">ICR </w:t>
      </w:r>
      <w:r w:rsidRPr="00A12F6B" w:rsidR="000959D8">
        <w:rPr>
          <w:rFonts w:ascii="Times New Roman" w:hAnsi="Times New Roman"/>
          <w:sz w:val="24"/>
          <w:szCs w:val="24"/>
        </w:rPr>
        <w:t xml:space="preserve">to </w:t>
      </w:r>
      <w:r w:rsidRPr="00A12F6B" w:rsidR="00AD370B">
        <w:rPr>
          <w:rFonts w:ascii="Times New Roman" w:hAnsi="Times New Roman"/>
          <w:sz w:val="24"/>
          <w:szCs w:val="24"/>
        </w:rPr>
        <w:t>183</w:t>
      </w:r>
      <w:r w:rsidRPr="00A12F6B">
        <w:rPr>
          <w:rFonts w:ascii="Times New Roman" w:hAnsi="Times New Roman"/>
          <w:sz w:val="24"/>
          <w:szCs w:val="24"/>
        </w:rPr>
        <w:t>,2</w:t>
      </w:r>
      <w:r w:rsidRPr="00A12F6B" w:rsidR="00AD370B">
        <w:rPr>
          <w:rFonts w:ascii="Times New Roman" w:hAnsi="Times New Roman"/>
          <w:sz w:val="24"/>
          <w:szCs w:val="24"/>
        </w:rPr>
        <w:t>61</w:t>
      </w:r>
      <w:r w:rsidRPr="00A12F6B" w:rsidR="000959D8">
        <w:rPr>
          <w:rFonts w:ascii="Times New Roman" w:hAnsi="Times New Roman"/>
          <w:sz w:val="24"/>
          <w:szCs w:val="24"/>
        </w:rPr>
        <w:t xml:space="preserve"> in the current ICR. The estimated annual burden hours for </w:t>
      </w:r>
      <w:r w:rsidRPr="00A12F6B" w:rsidR="006576C7">
        <w:rPr>
          <w:rFonts w:ascii="Times New Roman" w:hAnsi="Times New Roman"/>
          <w:sz w:val="24"/>
          <w:szCs w:val="24"/>
        </w:rPr>
        <w:t xml:space="preserve">the </w:t>
      </w:r>
      <w:r w:rsidRPr="00A12F6B" w:rsidR="000959D8">
        <w:rPr>
          <w:rFonts w:ascii="Times New Roman" w:hAnsi="Times New Roman"/>
          <w:sz w:val="24"/>
          <w:szCs w:val="24"/>
        </w:rPr>
        <w:t xml:space="preserve">Form MCSA-1 increased by </w:t>
      </w:r>
      <w:r w:rsidRPr="00A12F6B" w:rsidR="00AD370B">
        <w:rPr>
          <w:rFonts w:ascii="Times New Roman" w:hAnsi="Times New Roman"/>
          <w:sz w:val="24"/>
          <w:szCs w:val="24"/>
        </w:rPr>
        <w:t>118</w:t>
      </w:r>
      <w:r w:rsidRPr="00A12F6B" w:rsidR="000959D8">
        <w:rPr>
          <w:rFonts w:ascii="Times New Roman" w:hAnsi="Times New Roman"/>
          <w:sz w:val="24"/>
          <w:szCs w:val="24"/>
        </w:rPr>
        <w:t>,</w:t>
      </w:r>
      <w:r w:rsidRPr="00A12F6B" w:rsidR="00AD370B">
        <w:rPr>
          <w:rFonts w:ascii="Times New Roman" w:hAnsi="Times New Roman"/>
          <w:sz w:val="24"/>
          <w:szCs w:val="24"/>
        </w:rPr>
        <w:t>78</w:t>
      </w:r>
      <w:r w:rsidRPr="00A12F6B" w:rsidR="000959D8">
        <w:rPr>
          <w:rFonts w:ascii="Times New Roman" w:hAnsi="Times New Roman"/>
          <w:sz w:val="24"/>
          <w:szCs w:val="24"/>
        </w:rPr>
        <w:t xml:space="preserve">0 </w:t>
      </w:r>
      <w:r w:rsidRPr="00A12F6B" w:rsidR="006576C7">
        <w:rPr>
          <w:rFonts w:ascii="Times New Roman" w:hAnsi="Times New Roman"/>
          <w:sz w:val="24"/>
          <w:szCs w:val="24"/>
        </w:rPr>
        <w:t xml:space="preserve">hours </w:t>
      </w:r>
      <w:r w:rsidRPr="00A12F6B" w:rsidR="000959D8">
        <w:rPr>
          <w:rFonts w:ascii="Times New Roman" w:hAnsi="Times New Roman"/>
          <w:sz w:val="24"/>
          <w:szCs w:val="24"/>
        </w:rPr>
        <w:t xml:space="preserve">to </w:t>
      </w:r>
      <w:r w:rsidRPr="00A12F6B" w:rsidR="00AD370B">
        <w:rPr>
          <w:rFonts w:ascii="Times New Roman" w:hAnsi="Times New Roman"/>
          <w:sz w:val="24"/>
          <w:szCs w:val="24"/>
        </w:rPr>
        <w:t>245</w:t>
      </w:r>
      <w:r w:rsidRPr="00A12F6B">
        <w:rPr>
          <w:rFonts w:ascii="Times New Roman" w:hAnsi="Times New Roman"/>
          <w:sz w:val="24"/>
          <w:szCs w:val="24"/>
        </w:rPr>
        <w:t>,</w:t>
      </w:r>
      <w:r w:rsidRPr="00A12F6B" w:rsidR="00AD370B">
        <w:rPr>
          <w:rFonts w:ascii="Times New Roman" w:hAnsi="Times New Roman"/>
          <w:sz w:val="24"/>
          <w:szCs w:val="24"/>
        </w:rPr>
        <w:t>569</w:t>
      </w:r>
      <w:r w:rsidRPr="00A12F6B">
        <w:rPr>
          <w:rFonts w:ascii="Times New Roman" w:hAnsi="Times New Roman"/>
          <w:sz w:val="24"/>
          <w:szCs w:val="24"/>
        </w:rPr>
        <w:t xml:space="preserve"> hours</w:t>
      </w:r>
      <w:r w:rsidRPr="00A12F6B" w:rsidR="006576C7">
        <w:rPr>
          <w:rFonts w:ascii="Times New Roman" w:hAnsi="Times New Roman"/>
          <w:sz w:val="24"/>
          <w:szCs w:val="24"/>
        </w:rPr>
        <w:t xml:space="preserve"> [</w:t>
      </w:r>
      <w:r w:rsidRPr="00A12F6B" w:rsidR="005F6387">
        <w:rPr>
          <w:rFonts w:ascii="Times New Roman" w:hAnsi="Times New Roman"/>
          <w:sz w:val="24"/>
          <w:szCs w:val="24"/>
        </w:rPr>
        <w:t>245</w:t>
      </w:r>
      <w:r w:rsidRPr="00A12F6B" w:rsidR="006576C7">
        <w:rPr>
          <w:rFonts w:ascii="Times New Roman" w:hAnsi="Times New Roman"/>
          <w:sz w:val="24"/>
          <w:szCs w:val="24"/>
        </w:rPr>
        <w:t>,</w:t>
      </w:r>
      <w:r w:rsidRPr="00A12F6B" w:rsidR="005F6387">
        <w:rPr>
          <w:rFonts w:ascii="Times New Roman" w:hAnsi="Times New Roman"/>
          <w:sz w:val="24"/>
          <w:szCs w:val="24"/>
        </w:rPr>
        <w:t>569</w:t>
      </w:r>
      <w:r w:rsidRPr="00A12F6B" w:rsidR="006576C7">
        <w:rPr>
          <w:rFonts w:ascii="Times New Roman" w:hAnsi="Times New Roman"/>
          <w:sz w:val="24"/>
          <w:szCs w:val="24"/>
        </w:rPr>
        <w:t xml:space="preserve"> proposed hours – </w:t>
      </w:r>
      <w:r w:rsidRPr="00A12F6B" w:rsidR="005F6387">
        <w:rPr>
          <w:rFonts w:ascii="Times New Roman" w:hAnsi="Times New Roman"/>
          <w:sz w:val="24"/>
          <w:szCs w:val="24"/>
        </w:rPr>
        <w:t>126</w:t>
      </w:r>
      <w:r w:rsidRPr="00A12F6B" w:rsidR="006576C7">
        <w:rPr>
          <w:rFonts w:ascii="Times New Roman" w:hAnsi="Times New Roman"/>
          <w:sz w:val="24"/>
          <w:szCs w:val="24"/>
        </w:rPr>
        <w:t>,</w:t>
      </w:r>
      <w:r w:rsidRPr="00A12F6B" w:rsidR="005F6387">
        <w:rPr>
          <w:rFonts w:ascii="Times New Roman" w:hAnsi="Times New Roman"/>
          <w:sz w:val="24"/>
          <w:szCs w:val="24"/>
        </w:rPr>
        <w:t>7</w:t>
      </w:r>
      <w:r w:rsidRPr="00A12F6B" w:rsidR="006576C7">
        <w:rPr>
          <w:rFonts w:ascii="Times New Roman" w:hAnsi="Times New Roman"/>
          <w:sz w:val="24"/>
          <w:szCs w:val="24"/>
        </w:rPr>
        <w:t>8</w:t>
      </w:r>
      <w:r w:rsidRPr="00A12F6B" w:rsidR="005F6387">
        <w:rPr>
          <w:rFonts w:ascii="Times New Roman" w:hAnsi="Times New Roman"/>
          <w:sz w:val="24"/>
          <w:szCs w:val="24"/>
        </w:rPr>
        <w:t>9</w:t>
      </w:r>
      <w:r w:rsidRPr="00A12F6B" w:rsidR="006576C7">
        <w:rPr>
          <w:rFonts w:ascii="Times New Roman" w:hAnsi="Times New Roman"/>
          <w:sz w:val="24"/>
          <w:szCs w:val="24"/>
        </w:rPr>
        <w:t xml:space="preserve"> currently approved hours = </w:t>
      </w:r>
      <w:r w:rsidRPr="00A12F6B" w:rsidR="005F6387">
        <w:rPr>
          <w:rFonts w:ascii="Times New Roman" w:hAnsi="Times New Roman"/>
          <w:sz w:val="24"/>
          <w:szCs w:val="24"/>
        </w:rPr>
        <w:t>118</w:t>
      </w:r>
      <w:r w:rsidRPr="00A12F6B" w:rsidR="006576C7">
        <w:rPr>
          <w:rFonts w:ascii="Times New Roman" w:hAnsi="Times New Roman"/>
          <w:sz w:val="24"/>
          <w:szCs w:val="24"/>
        </w:rPr>
        <w:t>,</w:t>
      </w:r>
      <w:r w:rsidRPr="00A12F6B" w:rsidR="005F6387">
        <w:rPr>
          <w:rFonts w:ascii="Times New Roman" w:hAnsi="Times New Roman"/>
          <w:sz w:val="24"/>
          <w:szCs w:val="24"/>
        </w:rPr>
        <w:t>78</w:t>
      </w:r>
      <w:r w:rsidRPr="00A12F6B" w:rsidR="006576C7">
        <w:rPr>
          <w:rFonts w:ascii="Times New Roman" w:hAnsi="Times New Roman"/>
          <w:sz w:val="24"/>
          <w:szCs w:val="24"/>
        </w:rPr>
        <w:t>0 hours].</w:t>
      </w:r>
      <w:r w:rsidRPr="00A12F6B" w:rsidR="00A12F6B">
        <w:rPr>
          <w:rFonts w:ascii="Times New Roman" w:hAnsi="Times New Roman"/>
          <w:sz w:val="24"/>
          <w:szCs w:val="24"/>
        </w:rPr>
        <w:t xml:space="preserve"> </w:t>
      </w:r>
      <w:r w:rsidR="00D0632C">
        <w:rPr>
          <w:rFonts w:ascii="Times New Roman" w:hAnsi="Times New Roman"/>
          <w:sz w:val="24"/>
          <w:szCs w:val="24"/>
        </w:rPr>
        <w:t>This</w:t>
      </w:r>
      <w:r w:rsidRPr="00A12F6B" w:rsidR="5F14CFFF">
        <w:rPr>
          <w:rFonts w:ascii="Times New Roman" w:hAnsi="Times New Roman"/>
          <w:sz w:val="24"/>
          <w:szCs w:val="24"/>
        </w:rPr>
        <w:t xml:space="preserve"> </w:t>
      </w:r>
      <w:r w:rsidRPr="00A12F6B" w:rsidR="006576C7">
        <w:rPr>
          <w:rFonts w:ascii="Times New Roman" w:hAnsi="Times New Roman"/>
          <w:sz w:val="24"/>
          <w:szCs w:val="24"/>
        </w:rPr>
        <w:t>estimate is based off the increased number of respondents</w:t>
      </w:r>
      <w:r w:rsidRPr="00A12F6B" w:rsidR="005F6387">
        <w:rPr>
          <w:rFonts w:ascii="Times New Roman" w:hAnsi="Times New Roman"/>
          <w:sz w:val="24"/>
          <w:szCs w:val="24"/>
        </w:rPr>
        <w:t>/responses</w:t>
      </w:r>
      <w:r w:rsidRPr="00A12F6B" w:rsidR="006576C7">
        <w:rPr>
          <w:rFonts w:ascii="Times New Roman" w:hAnsi="Times New Roman"/>
          <w:sz w:val="24"/>
          <w:szCs w:val="24"/>
        </w:rPr>
        <w:t xml:space="preserve"> calculated based on the number of new entrants who applied using Form MCSA-1 during calendar years 2022, 2023, and 2024, which results in these estimates of annual respondents</w:t>
      </w:r>
      <w:r w:rsidRPr="00A12F6B" w:rsidR="005F6387">
        <w:rPr>
          <w:rFonts w:ascii="Times New Roman" w:hAnsi="Times New Roman"/>
          <w:sz w:val="24"/>
          <w:szCs w:val="24"/>
        </w:rPr>
        <w:t>/responses</w:t>
      </w:r>
      <w:r w:rsidRPr="00A12F6B" w:rsidR="006576C7">
        <w:rPr>
          <w:rFonts w:ascii="Times New Roman" w:hAnsi="Times New Roman"/>
          <w:sz w:val="24"/>
          <w:szCs w:val="24"/>
        </w:rPr>
        <w:t xml:space="preserve"> and burden hours for the upcoming information collection period.</w:t>
      </w:r>
      <w:bookmarkEnd w:id="0"/>
    </w:p>
    <w:bookmarkEnd w:id="1"/>
    <w:p w:rsidR="00111DE3" w:rsidRPr="00697D42" w:rsidP="00E9142F" w14:paraId="79BBA493" w14:textId="77777777">
      <w:pPr>
        <w:pStyle w:val="Subtitle"/>
        <w:outlineLvl w:val="0"/>
        <w:rPr>
          <w:rFonts w:ascii="Times New Roman" w:hAnsi="Times New Roman"/>
          <w:b w:val="0"/>
          <w:bCs w:val="0"/>
          <w:u w:val="none"/>
        </w:rPr>
      </w:pPr>
    </w:p>
    <w:p w:rsidR="00E9142F" w:rsidRPr="00644586" w:rsidP="00E9142F" w14:paraId="54AA9EEA" w14:textId="62D0A7A1">
      <w:pPr>
        <w:pStyle w:val="Subtitle"/>
        <w:outlineLvl w:val="0"/>
        <w:rPr>
          <w:rFonts w:ascii="Times New Roman" w:hAnsi="Times New Roman"/>
        </w:rPr>
      </w:pPr>
      <w:r w:rsidRPr="00644586">
        <w:rPr>
          <w:rFonts w:ascii="Times New Roman" w:hAnsi="Times New Roman"/>
        </w:rPr>
        <w:t>INTRODUCTION</w:t>
      </w:r>
    </w:p>
    <w:p w:rsidR="00E9142F" w:rsidP="00E9142F" w14:paraId="309F56EB" w14:textId="77777777">
      <w:pPr>
        <w:pStyle w:val="Subtitle"/>
        <w:rPr>
          <w:rFonts w:ascii="Times New Roman" w:hAnsi="Times New Roman"/>
          <w:b w:val="0"/>
          <w:u w:val="none"/>
        </w:rPr>
      </w:pPr>
    </w:p>
    <w:p w:rsidR="00E9142F" w:rsidRPr="00692712" w:rsidP="00692712" w14:paraId="6BD63C07" w14:textId="4AA61101">
      <w:pPr>
        <w:rPr>
          <w:rFonts w:ascii="Times New Roman" w:hAnsi="Times New Roman"/>
          <w:b/>
          <w:sz w:val="24"/>
          <w:szCs w:val="24"/>
        </w:rPr>
      </w:pPr>
      <w:r w:rsidRPr="005612EB">
        <w:rPr>
          <w:rFonts w:ascii="Times New Roman" w:hAnsi="Times New Roman"/>
          <w:sz w:val="24"/>
          <w:szCs w:val="24"/>
        </w:rPr>
        <w:t>Th</w:t>
      </w:r>
      <w:r w:rsidR="00A542B9">
        <w:rPr>
          <w:rFonts w:ascii="Times New Roman" w:hAnsi="Times New Roman"/>
          <w:sz w:val="24"/>
          <w:szCs w:val="24"/>
        </w:rPr>
        <w:t xml:space="preserve">e </w:t>
      </w:r>
      <w:r w:rsidR="006576C7">
        <w:rPr>
          <w:rFonts w:ascii="Times New Roman" w:hAnsi="Times New Roman"/>
          <w:sz w:val="24"/>
          <w:szCs w:val="24"/>
        </w:rPr>
        <w:t xml:space="preserve">Federal Motor Carrier Safety Administration (FMCSA) submits to the Office of Management and Budget (OMB) its request to renew a currently approved information collection request </w:t>
      </w:r>
      <w:r w:rsidR="00A542B9">
        <w:rPr>
          <w:rFonts w:ascii="Times New Roman" w:hAnsi="Times New Roman"/>
          <w:sz w:val="24"/>
          <w:szCs w:val="24"/>
        </w:rPr>
        <w:t xml:space="preserve">(ICR) </w:t>
      </w:r>
      <w:r w:rsidR="006576C7">
        <w:rPr>
          <w:rFonts w:ascii="Times New Roman" w:hAnsi="Times New Roman"/>
          <w:sz w:val="24"/>
          <w:szCs w:val="24"/>
        </w:rPr>
        <w:t xml:space="preserve">titled </w:t>
      </w:r>
      <w:r w:rsidR="006576C7">
        <w:rPr>
          <w:rFonts w:ascii="Times New Roman" w:hAnsi="Times New Roman"/>
          <w:i/>
          <w:iCs/>
          <w:sz w:val="24"/>
          <w:szCs w:val="24"/>
        </w:rPr>
        <w:t>“Unified Registration System, FMCSA Registration/Updates”</w:t>
      </w:r>
      <w:r w:rsidR="006576C7">
        <w:rPr>
          <w:rFonts w:ascii="Times New Roman" w:hAnsi="Times New Roman"/>
          <w:sz w:val="24"/>
          <w:szCs w:val="24"/>
        </w:rPr>
        <w:t xml:space="preserve"> </w:t>
      </w:r>
      <w:r w:rsidRPr="00A542B9">
        <w:rPr>
          <w:rFonts w:ascii="Times New Roman" w:hAnsi="Times New Roman"/>
          <w:sz w:val="24"/>
          <w:szCs w:val="24"/>
        </w:rPr>
        <w:t>(OMB Control No. 2126-0051)</w:t>
      </w:r>
      <w:r w:rsidR="006576C7">
        <w:rPr>
          <w:rFonts w:ascii="Times New Roman" w:hAnsi="Times New Roman"/>
          <w:sz w:val="24"/>
          <w:szCs w:val="24"/>
        </w:rPr>
        <w:t xml:space="preserve">. The currently approved ICR, which is </w:t>
      </w:r>
      <w:r w:rsidRPr="005612EB">
        <w:rPr>
          <w:rFonts w:ascii="Times New Roman" w:hAnsi="Times New Roman"/>
          <w:sz w:val="24"/>
          <w:szCs w:val="24"/>
        </w:rPr>
        <w:t>due to expire on</w:t>
      </w:r>
      <w:r w:rsidRPr="00A542B9">
        <w:rPr>
          <w:rFonts w:ascii="Times New Roman" w:hAnsi="Times New Roman"/>
          <w:sz w:val="24"/>
          <w:szCs w:val="24"/>
        </w:rPr>
        <w:t xml:space="preserve"> </w:t>
      </w:r>
      <w:r w:rsidR="009F569B">
        <w:rPr>
          <w:rFonts w:ascii="Times New Roman" w:hAnsi="Times New Roman"/>
          <w:sz w:val="24"/>
          <w:szCs w:val="24"/>
        </w:rPr>
        <w:t>May 31</w:t>
      </w:r>
      <w:r w:rsidRPr="00A542B9">
        <w:rPr>
          <w:rFonts w:ascii="Times New Roman" w:hAnsi="Times New Roman"/>
          <w:sz w:val="24"/>
          <w:szCs w:val="24"/>
        </w:rPr>
        <w:t>, 202</w:t>
      </w:r>
      <w:r w:rsidRPr="00A542B9" w:rsidR="00776848">
        <w:rPr>
          <w:rFonts w:ascii="Times New Roman" w:hAnsi="Times New Roman"/>
          <w:sz w:val="24"/>
          <w:szCs w:val="24"/>
        </w:rPr>
        <w:t>6</w:t>
      </w:r>
      <w:r w:rsidR="006576C7">
        <w:rPr>
          <w:rFonts w:ascii="Times New Roman" w:hAnsi="Times New Roman"/>
          <w:sz w:val="24"/>
          <w:szCs w:val="24"/>
        </w:rPr>
        <w:t xml:space="preserve">, </w:t>
      </w:r>
      <w:r w:rsidRPr="00692712">
        <w:rPr>
          <w:rFonts w:ascii="Times New Roman" w:hAnsi="Times New Roman"/>
          <w:sz w:val="24"/>
          <w:szCs w:val="24"/>
        </w:rPr>
        <w:t>applies to new registrants that are subject to FMCSA’s licensing, registration, and certification regulations.</w:t>
      </w:r>
      <w:r w:rsidR="006576C7">
        <w:rPr>
          <w:rFonts w:ascii="Times New Roman" w:hAnsi="Times New Roman"/>
          <w:sz w:val="24"/>
          <w:szCs w:val="24"/>
        </w:rPr>
        <w:t xml:space="preserve"> FMCSA is requesting that information approval for the Form MCSA-1 continue to be effective for the 3-year period covered by this ICR.</w:t>
      </w:r>
    </w:p>
    <w:p w:rsidR="00E9142F" w:rsidRPr="00644586" w:rsidP="00E9142F" w14:paraId="14C9BD66" w14:textId="77777777">
      <w:pPr>
        <w:pStyle w:val="Subtitle"/>
        <w:rPr>
          <w:rFonts w:ascii="Times New Roman" w:hAnsi="Times New Roman"/>
          <w:b w:val="0"/>
          <w:u w:val="none"/>
        </w:rPr>
      </w:pPr>
    </w:p>
    <w:p w:rsidR="00E9142F" w:rsidRPr="00644586" w:rsidP="00E9142F" w14:paraId="1A73B86A" w14:textId="359E9F3F">
      <w:pPr>
        <w:rPr>
          <w:rFonts w:ascii="Times New Roman" w:hAnsi="Times New Roman"/>
          <w:sz w:val="24"/>
          <w:szCs w:val="24"/>
        </w:rPr>
      </w:pPr>
      <w:r w:rsidRPr="00644586">
        <w:rPr>
          <w:rFonts w:ascii="Times New Roman" w:hAnsi="Times New Roman"/>
          <w:sz w:val="24"/>
          <w:szCs w:val="24"/>
        </w:rPr>
        <w:t>N</w:t>
      </w:r>
      <w:r w:rsidRPr="00644586">
        <w:rPr>
          <w:rFonts w:ascii="Times New Roman" w:hAnsi="Times New Roman"/>
          <w:bCs/>
          <w:sz w:val="24"/>
          <w:szCs w:val="24"/>
        </w:rPr>
        <w:t xml:space="preserve">ew registrants </w:t>
      </w:r>
      <w:r w:rsidRPr="00644586">
        <w:rPr>
          <w:rFonts w:ascii="Times New Roman" w:hAnsi="Times New Roman"/>
          <w:sz w:val="24"/>
          <w:szCs w:val="24"/>
        </w:rPr>
        <w:t>must use online Form MCSA-1, accessible via the Unified Registration System (URS).</w:t>
      </w:r>
      <w:r>
        <w:rPr>
          <w:rFonts w:ascii="Times New Roman" w:hAnsi="Times New Roman"/>
          <w:i/>
          <w:sz w:val="24"/>
          <w:szCs w:val="24"/>
        </w:rPr>
        <w:t xml:space="preserve"> </w:t>
      </w:r>
      <w:r w:rsidRPr="00644586">
        <w:rPr>
          <w:rFonts w:ascii="Times New Roman" w:hAnsi="Times New Roman"/>
          <w:sz w:val="24"/>
          <w:szCs w:val="24"/>
        </w:rPr>
        <w:t>Existing registrants</w:t>
      </w:r>
      <w:r w:rsidRPr="00644586">
        <w:rPr>
          <w:rFonts w:ascii="Times New Roman" w:hAnsi="Times New Roman"/>
          <w:sz w:val="24"/>
          <w:szCs w:val="24"/>
          <w:vertAlign w:val="superscript"/>
        </w:rPr>
        <w:t xml:space="preserve"> (</w:t>
      </w:r>
      <w:r>
        <w:rPr>
          <w:rStyle w:val="FootnoteReference"/>
          <w:rFonts w:ascii="Times New Roman" w:hAnsi="Times New Roman"/>
          <w:sz w:val="24"/>
          <w:szCs w:val="24"/>
        </w:rPr>
        <w:footnoteReference w:id="2"/>
      </w:r>
      <w:r w:rsidRPr="00644586">
        <w:rPr>
          <w:rFonts w:ascii="Times New Roman" w:hAnsi="Times New Roman"/>
          <w:sz w:val="24"/>
          <w:szCs w:val="24"/>
          <w:vertAlign w:val="superscript"/>
        </w:rPr>
        <w:t>)</w:t>
      </w:r>
      <w:r w:rsidRPr="00644586">
        <w:rPr>
          <w:rFonts w:ascii="Times New Roman" w:hAnsi="Times New Roman"/>
          <w:sz w:val="24"/>
          <w:szCs w:val="24"/>
        </w:rPr>
        <w:t xml:space="preserve"> seeking additional authorities must use forms from the OP-1 series, including OP-1, OP-1(P), OP-1(FF), and OP-1(NNA). New and existing Mexico-domiciled carriers must apply for authority using Form OP-1(MX). Information collection activities associated with the OP-1 series of forms are covered under a different ICR, titled “Licensing Applications for Motor Carrier Operating Authority,” OMB Control No. 2126-0016.</w:t>
      </w:r>
    </w:p>
    <w:p w:rsidR="00E9142F" w:rsidRPr="00644586" w:rsidP="00E9142F" w14:paraId="6476837C" w14:textId="77777777">
      <w:pPr>
        <w:rPr>
          <w:rFonts w:ascii="Times New Roman" w:hAnsi="Times New Roman"/>
          <w:sz w:val="24"/>
          <w:szCs w:val="24"/>
        </w:rPr>
      </w:pPr>
    </w:p>
    <w:p w:rsidR="00E9142F" w:rsidRPr="00644586" w:rsidP="00E9142F" w14:paraId="00B7A7CB" w14:textId="1CC78CBA">
      <w:pPr>
        <w:tabs>
          <w:tab w:val="left" w:pos="-1440"/>
          <w:tab w:val="left" w:pos="-720"/>
        </w:tabs>
        <w:outlineLvl w:val="0"/>
        <w:rPr>
          <w:rFonts w:ascii="Times New Roman" w:hAnsi="Times New Roman"/>
          <w:b/>
          <w:bCs/>
          <w:sz w:val="24"/>
          <w:szCs w:val="24"/>
        </w:rPr>
      </w:pPr>
      <w:r w:rsidRPr="00644586">
        <w:rPr>
          <w:rFonts w:ascii="Times New Roman" w:hAnsi="Times New Roman"/>
          <w:b/>
          <w:bCs/>
          <w:sz w:val="24"/>
          <w:szCs w:val="24"/>
          <w:u w:val="single"/>
        </w:rPr>
        <w:t>Part A. Justification</w:t>
      </w:r>
    </w:p>
    <w:p w:rsidR="00E9142F" w:rsidRPr="00EB4EC8" w:rsidP="00E9142F" w14:paraId="20ACD04B" w14:textId="77777777">
      <w:pPr>
        <w:tabs>
          <w:tab w:val="left" w:pos="-1440"/>
          <w:tab w:val="left" w:pos="-720"/>
        </w:tabs>
        <w:rPr>
          <w:rFonts w:ascii="Times New Roman" w:hAnsi="Times New Roman"/>
          <w:bCs/>
          <w:sz w:val="24"/>
          <w:szCs w:val="24"/>
        </w:rPr>
      </w:pPr>
    </w:p>
    <w:p w:rsidR="00E9142F" w:rsidP="00E9142F" w14:paraId="20BF93E8" w14:textId="77777777">
      <w:pPr>
        <w:numPr>
          <w:ilvl w:val="0"/>
          <w:numId w:val="18"/>
        </w:numPr>
        <w:tabs>
          <w:tab w:val="left" w:pos="-1440"/>
          <w:tab w:val="left" w:pos="-720"/>
        </w:tabs>
        <w:rPr>
          <w:rFonts w:ascii="Times New Roman" w:hAnsi="Times New Roman"/>
          <w:b/>
          <w:bCs/>
          <w:sz w:val="24"/>
          <w:szCs w:val="24"/>
        </w:rPr>
      </w:pPr>
      <w:r w:rsidRPr="00644586">
        <w:rPr>
          <w:rFonts w:ascii="Times New Roman" w:hAnsi="Times New Roman"/>
          <w:b/>
          <w:bCs/>
          <w:sz w:val="24"/>
          <w:szCs w:val="24"/>
        </w:rPr>
        <w:t>CIRCUMSTANCES THAT MAKE THE COLLECTION OF INFORMATION NECESSARY</w:t>
      </w:r>
    </w:p>
    <w:p w:rsidR="009F569B" w:rsidP="00697D42" w14:paraId="173F2A59" w14:textId="77777777">
      <w:pPr>
        <w:ind w:firstLine="360"/>
        <w:rPr>
          <w:rFonts w:ascii="Times New Roman" w:hAnsi="Times New Roman"/>
          <w:sz w:val="24"/>
          <w:szCs w:val="24"/>
        </w:rPr>
      </w:pPr>
      <w:bookmarkStart w:id="2" w:name="_Hlk15475318"/>
    </w:p>
    <w:p w:rsidR="00E9142F" w:rsidRPr="00644586" w:rsidP="00697D42" w14:paraId="7099F545" w14:textId="6D485971">
      <w:pPr>
        <w:ind w:firstLine="360"/>
        <w:rPr>
          <w:rFonts w:ascii="Times New Roman" w:hAnsi="Times New Roman"/>
          <w:sz w:val="24"/>
          <w:szCs w:val="24"/>
        </w:rPr>
      </w:pPr>
      <w:r w:rsidRPr="00644586">
        <w:rPr>
          <w:rFonts w:ascii="Times New Roman" w:hAnsi="Times New Roman"/>
          <w:sz w:val="24"/>
          <w:szCs w:val="24"/>
        </w:rPr>
        <w:t>FMCSA registers:</w:t>
      </w:r>
    </w:p>
    <w:p w:rsidR="00E9142F" w:rsidRPr="00644586" w:rsidP="00697D42" w14:paraId="5D635349" w14:textId="08CCEAAB">
      <w:pPr>
        <w:pStyle w:val="ListParagraph"/>
        <w:numPr>
          <w:ilvl w:val="0"/>
          <w:numId w:val="34"/>
        </w:numPr>
        <w:tabs>
          <w:tab w:val="left" w:pos="-1440"/>
          <w:tab w:val="left" w:pos="-720"/>
        </w:tabs>
        <w:rPr>
          <w:rFonts w:ascii="Times New Roman" w:hAnsi="Times New Roman"/>
          <w:b/>
          <w:sz w:val="24"/>
          <w:szCs w:val="24"/>
        </w:rPr>
      </w:pPr>
      <w:r>
        <w:rPr>
          <w:rFonts w:ascii="Times New Roman" w:hAnsi="Times New Roman"/>
          <w:sz w:val="24"/>
          <w:szCs w:val="24"/>
        </w:rPr>
        <w:t xml:space="preserve">Private and </w:t>
      </w:r>
      <w:r w:rsidRPr="00644586">
        <w:rPr>
          <w:rFonts w:ascii="Times New Roman" w:hAnsi="Times New Roman"/>
          <w:sz w:val="24"/>
          <w:szCs w:val="24"/>
        </w:rPr>
        <w:t>For-hire motor carriers of regulated commodities and of passengers, under 49 U.S.C. § 13902(a) (Attachment A);</w:t>
      </w:r>
    </w:p>
    <w:p w:rsidR="00E9142F" w:rsidRPr="00644586" w:rsidP="00697D42" w14:paraId="467EF973" w14:textId="77777777">
      <w:pPr>
        <w:pStyle w:val="ListParagraph"/>
        <w:numPr>
          <w:ilvl w:val="0"/>
          <w:numId w:val="34"/>
        </w:numPr>
        <w:tabs>
          <w:tab w:val="left" w:pos="-1440"/>
          <w:tab w:val="left" w:pos="-720"/>
        </w:tabs>
        <w:rPr>
          <w:rFonts w:ascii="Times New Roman" w:hAnsi="Times New Roman"/>
          <w:b/>
          <w:sz w:val="24"/>
          <w:szCs w:val="24"/>
        </w:rPr>
      </w:pPr>
      <w:r w:rsidRPr="00644586">
        <w:rPr>
          <w:rFonts w:ascii="Times New Roman" w:hAnsi="Times New Roman"/>
          <w:sz w:val="24"/>
          <w:szCs w:val="24"/>
        </w:rPr>
        <w:t>Surface freight forwarders, under 49 U.S.C. § 13903 (Attachment B);</w:t>
      </w:r>
    </w:p>
    <w:p w:rsidR="00E9142F" w:rsidRPr="00644586" w:rsidP="00697D42" w14:paraId="10349A21" w14:textId="77777777">
      <w:pPr>
        <w:pStyle w:val="ListParagraph"/>
        <w:numPr>
          <w:ilvl w:val="0"/>
          <w:numId w:val="34"/>
        </w:numPr>
        <w:tabs>
          <w:tab w:val="left" w:pos="-1440"/>
          <w:tab w:val="left" w:pos="-720"/>
        </w:tabs>
        <w:rPr>
          <w:rFonts w:ascii="Times New Roman" w:hAnsi="Times New Roman"/>
          <w:b/>
          <w:sz w:val="24"/>
          <w:szCs w:val="24"/>
        </w:rPr>
      </w:pPr>
      <w:r w:rsidRPr="00644586">
        <w:rPr>
          <w:rFonts w:ascii="Times New Roman" w:hAnsi="Times New Roman"/>
          <w:sz w:val="24"/>
          <w:szCs w:val="24"/>
        </w:rPr>
        <w:t>Property brokers, under 49 U.S.C. § 13904 (Attachment C); and</w:t>
      </w:r>
    </w:p>
    <w:p w:rsidR="00E9142F" w:rsidRPr="00644586" w:rsidP="00697D42" w14:paraId="4D09A64D" w14:textId="32152FCD">
      <w:pPr>
        <w:pStyle w:val="ListParagraph"/>
        <w:numPr>
          <w:ilvl w:val="0"/>
          <w:numId w:val="34"/>
        </w:numPr>
        <w:tabs>
          <w:tab w:val="left" w:pos="-1440"/>
          <w:tab w:val="left" w:pos="-720"/>
        </w:tabs>
        <w:rPr>
          <w:rFonts w:ascii="Times New Roman" w:hAnsi="Times New Roman"/>
          <w:b/>
          <w:sz w:val="24"/>
          <w:szCs w:val="24"/>
        </w:rPr>
      </w:pPr>
      <w:r w:rsidRPr="00644586">
        <w:rPr>
          <w:rFonts w:ascii="Times New Roman" w:hAnsi="Times New Roman"/>
          <w:sz w:val="24"/>
          <w:szCs w:val="24"/>
        </w:rPr>
        <w:t xml:space="preserve">Certain Mexico-domiciled motor carriers, under 49 U.S.C. § 13902(c) (Attachment </w:t>
      </w:r>
      <w:r w:rsidR="00884163">
        <w:rPr>
          <w:rFonts w:ascii="Times New Roman" w:hAnsi="Times New Roman"/>
          <w:sz w:val="24"/>
          <w:szCs w:val="24"/>
        </w:rPr>
        <w:t>D</w:t>
      </w:r>
      <w:r w:rsidRPr="00644586">
        <w:rPr>
          <w:rFonts w:ascii="Times New Roman" w:hAnsi="Times New Roman"/>
          <w:sz w:val="24"/>
          <w:szCs w:val="24"/>
        </w:rPr>
        <w:t>).</w:t>
      </w:r>
    </w:p>
    <w:p w:rsidR="00A542B9" w:rsidP="00A542B9" w14:paraId="3A2C9E6C" w14:textId="77777777">
      <w:pPr>
        <w:ind w:left="360"/>
        <w:rPr>
          <w:rFonts w:ascii="Times New Roman" w:hAnsi="Times New Roman"/>
          <w:sz w:val="24"/>
          <w:szCs w:val="24"/>
        </w:rPr>
      </w:pPr>
    </w:p>
    <w:p w:rsidR="00E9142F" w:rsidRPr="00644586" w:rsidP="00A542B9" w14:paraId="063DA84D" w14:textId="5CC65D04">
      <w:pPr>
        <w:ind w:left="360"/>
        <w:rPr>
          <w:rFonts w:ascii="Times New Roman" w:hAnsi="Times New Roman"/>
          <w:sz w:val="24"/>
          <w:szCs w:val="24"/>
        </w:rPr>
      </w:pPr>
      <w:r w:rsidRPr="00644586">
        <w:rPr>
          <w:rFonts w:ascii="Times New Roman" w:hAnsi="Times New Roman"/>
          <w:sz w:val="24"/>
          <w:szCs w:val="24"/>
        </w:rPr>
        <w:t>These motor carriers may conduct transportation services in the United States only if they are registered with FMCSA. Each registration is effective from the date specified and remains in effect for such period as the Secretary of Transportation (Secret</w:t>
      </w:r>
      <w:r>
        <w:rPr>
          <w:rFonts w:ascii="Times New Roman" w:hAnsi="Times New Roman"/>
          <w:sz w:val="24"/>
          <w:szCs w:val="24"/>
        </w:rPr>
        <w:t>ary) determines by regulations.</w:t>
      </w:r>
    </w:p>
    <w:p w:rsidR="00E9142F" w:rsidRPr="00644586" w:rsidP="00A542B9" w14:paraId="066E3AAA" w14:textId="77777777">
      <w:pPr>
        <w:ind w:left="360"/>
        <w:rPr>
          <w:rFonts w:ascii="Times New Roman" w:hAnsi="Times New Roman"/>
          <w:sz w:val="24"/>
          <w:szCs w:val="24"/>
        </w:rPr>
      </w:pPr>
    </w:p>
    <w:p w:rsidR="00E9142F" w:rsidRPr="00644586" w:rsidP="00E9142F" w14:paraId="4DCD3112" w14:textId="3C7657FA">
      <w:pPr>
        <w:ind w:left="360"/>
        <w:rPr>
          <w:rFonts w:ascii="Times New Roman" w:hAnsi="Times New Roman"/>
          <w:sz w:val="24"/>
          <w:szCs w:val="24"/>
        </w:rPr>
      </w:pPr>
      <w:r w:rsidRPr="00644586">
        <w:rPr>
          <w:rFonts w:ascii="Times New Roman" w:hAnsi="Times New Roman"/>
          <w:sz w:val="24"/>
          <w:szCs w:val="24"/>
        </w:rPr>
        <w:t xml:space="preserve">The </w:t>
      </w:r>
      <w:r w:rsidR="00811A18">
        <w:rPr>
          <w:rFonts w:ascii="Times New Roman" w:hAnsi="Times New Roman"/>
          <w:sz w:val="24"/>
          <w:szCs w:val="24"/>
        </w:rPr>
        <w:t>f</w:t>
      </w:r>
      <w:r w:rsidRPr="00644586">
        <w:rPr>
          <w:rFonts w:ascii="Times New Roman" w:hAnsi="Times New Roman"/>
          <w:sz w:val="24"/>
          <w:szCs w:val="24"/>
        </w:rPr>
        <w:t xml:space="preserve">inal </w:t>
      </w:r>
      <w:r w:rsidR="00811A18">
        <w:rPr>
          <w:rFonts w:ascii="Times New Roman" w:hAnsi="Times New Roman"/>
          <w:sz w:val="24"/>
          <w:szCs w:val="24"/>
        </w:rPr>
        <w:t>r</w:t>
      </w:r>
      <w:r w:rsidRPr="00644586">
        <w:rPr>
          <w:rFonts w:ascii="Times New Roman" w:hAnsi="Times New Roman"/>
          <w:sz w:val="24"/>
          <w:szCs w:val="24"/>
        </w:rPr>
        <w:t xml:space="preserve">ule titled “Unified Registration System,” (78 FR 52608) dated August 23, 2013, implemented statutory provisions for an online registration system for entities that are subject to FMCSA’s licensing, registration, and certification regulations (Attachment </w:t>
      </w:r>
      <w:r w:rsidR="00884163">
        <w:rPr>
          <w:rFonts w:ascii="Times New Roman" w:hAnsi="Times New Roman"/>
          <w:sz w:val="24"/>
          <w:szCs w:val="24"/>
        </w:rPr>
        <w:t>E</w:t>
      </w:r>
      <w:r w:rsidRPr="00644586">
        <w:rPr>
          <w:rFonts w:ascii="Times New Roman" w:hAnsi="Times New Roman"/>
          <w:sz w:val="24"/>
          <w:szCs w:val="24"/>
        </w:rPr>
        <w:t xml:space="preserve">). </w:t>
      </w:r>
      <w:r w:rsidR="00914CF6">
        <w:rPr>
          <w:rFonts w:ascii="Times New Roman" w:hAnsi="Times New Roman"/>
          <w:sz w:val="24"/>
          <w:szCs w:val="24"/>
        </w:rPr>
        <w:t>The Unified Registration System (</w:t>
      </w:r>
      <w:r w:rsidRPr="00644586">
        <w:rPr>
          <w:rFonts w:ascii="Times New Roman" w:hAnsi="Times New Roman"/>
          <w:sz w:val="24"/>
          <w:szCs w:val="24"/>
        </w:rPr>
        <w:t>URS</w:t>
      </w:r>
      <w:r w:rsidR="00914CF6">
        <w:rPr>
          <w:rFonts w:ascii="Times New Roman" w:hAnsi="Times New Roman"/>
          <w:sz w:val="24"/>
          <w:szCs w:val="24"/>
        </w:rPr>
        <w:t>)</w:t>
      </w:r>
      <w:r w:rsidRPr="00644586">
        <w:rPr>
          <w:rFonts w:ascii="Times New Roman" w:hAnsi="Times New Roman"/>
          <w:sz w:val="24"/>
          <w:szCs w:val="24"/>
        </w:rPr>
        <w:t xml:space="preserve"> streamlines the registration process and serves as a clearinghouse and repository of information on motor carriers, brokers, freight forwarders, intermodal equipment providers (IEPs), hazardous materials safety permit (HMSP) applicants, and cargo tank facilities required to register with FMCSA. When developing URS, FMCSA planned that the OP-1 series of forms (except for OP-1(MX)) would ultimately be folded into one overarching form (MCSA-1), which would be used by all motor carriers seeking authority.</w:t>
      </w:r>
    </w:p>
    <w:p w:rsidR="00E9142F" w:rsidRPr="00644586" w:rsidP="00E9142F" w14:paraId="53E06AE9" w14:textId="77777777">
      <w:pPr>
        <w:ind w:left="360"/>
        <w:rPr>
          <w:rFonts w:ascii="Times New Roman" w:hAnsi="Times New Roman"/>
          <w:sz w:val="24"/>
          <w:szCs w:val="24"/>
        </w:rPr>
      </w:pPr>
    </w:p>
    <w:p w:rsidR="00E9142F" w:rsidRPr="00644586" w:rsidP="00E9142F" w14:paraId="637251A5" w14:textId="2B7AE248">
      <w:pPr>
        <w:ind w:left="360"/>
        <w:rPr>
          <w:rFonts w:ascii="Times New Roman" w:hAnsi="Times New Roman"/>
          <w:sz w:val="24"/>
          <w:szCs w:val="24"/>
        </w:rPr>
      </w:pPr>
      <w:r w:rsidRPr="00644586">
        <w:rPr>
          <w:rFonts w:ascii="Times New Roman" w:hAnsi="Times New Roman"/>
          <w:sz w:val="24"/>
          <w:szCs w:val="24"/>
        </w:rPr>
        <w:t>FMCSA began a phased rollout of URS in 2015. The first phase, which became effective on December 12, 2015, impacts only first-time applicants seeking an FMCSA-issued registration. FMCSA had planned subsequent rollout phases for existing registrants; however, there have been substantial delays, and subsequent phases have not been rolled out to date.</w:t>
      </w:r>
    </w:p>
    <w:p w:rsidR="00E9142F" w:rsidRPr="00644586" w:rsidP="00E9142F" w14:paraId="33B32173" w14:textId="77777777">
      <w:pPr>
        <w:ind w:left="360"/>
        <w:rPr>
          <w:rFonts w:ascii="Times New Roman" w:hAnsi="Times New Roman"/>
          <w:sz w:val="24"/>
          <w:szCs w:val="24"/>
        </w:rPr>
      </w:pPr>
    </w:p>
    <w:p w:rsidR="00E9142F" w:rsidRPr="00644586" w:rsidP="00E9142F" w14:paraId="7A1711F0" w14:textId="4C3FF7C3">
      <w:pPr>
        <w:spacing w:after="240"/>
        <w:ind w:left="360"/>
        <w:rPr>
          <w:rFonts w:ascii="Times New Roman" w:hAnsi="Times New Roman"/>
          <w:sz w:val="24"/>
          <w:szCs w:val="24"/>
        </w:rPr>
      </w:pPr>
      <w:r w:rsidRPr="00644586">
        <w:rPr>
          <w:rFonts w:ascii="Times New Roman" w:hAnsi="Times New Roman"/>
          <w:sz w:val="24"/>
          <w:szCs w:val="24"/>
        </w:rPr>
        <w:t xml:space="preserve">On January 17, 2017, FMCSA issued a Final Rule titled “Unified Registration System; Suspension of Effectiveness,” which indefinitely suspended URS effectiveness dates for existing registrants only (82 FR 5292) (Attachment </w:t>
      </w:r>
      <w:r w:rsidR="00884163">
        <w:rPr>
          <w:rFonts w:ascii="Times New Roman" w:hAnsi="Times New Roman"/>
          <w:sz w:val="24"/>
          <w:szCs w:val="24"/>
        </w:rPr>
        <w:t>F</w:t>
      </w:r>
      <w:r w:rsidRPr="00644586">
        <w:rPr>
          <w:rFonts w:ascii="Times New Roman" w:hAnsi="Times New Roman"/>
          <w:sz w:val="24"/>
          <w:szCs w:val="24"/>
        </w:rPr>
        <w:t>).</w:t>
      </w:r>
      <w:r>
        <w:rPr>
          <w:rFonts w:ascii="Times New Roman" w:hAnsi="Times New Roman"/>
          <w:sz w:val="24"/>
          <w:szCs w:val="24"/>
        </w:rPr>
        <w:t xml:space="preserve"> </w:t>
      </w:r>
      <w:r w:rsidRPr="00644586">
        <w:rPr>
          <w:rFonts w:ascii="Times New Roman" w:hAnsi="Times New Roman"/>
          <w:sz w:val="24"/>
          <w:szCs w:val="24"/>
        </w:rPr>
        <w:t>Pursuant to this Final Rule, FMCSA is still accepting forms OP-1, OP-1(P), OP-1(FF), and OP-1(NNA) for existing registrants wishing to apply for additional authorities. Separately, FMCSA requires Form OP-1(MX) for Mexico-domiciled carriers that wish to operate beyond the U.S. municipalities on the U.S.-Mexico bor</w:t>
      </w:r>
      <w:r>
        <w:rPr>
          <w:rFonts w:ascii="Times New Roman" w:hAnsi="Times New Roman"/>
          <w:sz w:val="24"/>
          <w:szCs w:val="24"/>
        </w:rPr>
        <w:t>der and their commercial zones.</w:t>
      </w:r>
    </w:p>
    <w:p w:rsidR="00E9142F" w:rsidP="00E9142F" w14:paraId="62182A3C" w14:textId="514D095F">
      <w:pPr>
        <w:ind w:left="360"/>
        <w:rPr>
          <w:rFonts w:ascii="Times New Roman" w:hAnsi="Times New Roman"/>
          <w:sz w:val="24"/>
          <w:szCs w:val="24"/>
        </w:rPr>
      </w:pPr>
      <w:r w:rsidRPr="00644586">
        <w:rPr>
          <w:rFonts w:ascii="Times New Roman" w:hAnsi="Times New Roman"/>
          <w:sz w:val="24"/>
          <w:szCs w:val="24"/>
        </w:rPr>
        <w:t>As described above, only first-time applicants seeking an FMCSA-issued registration must apply via URS</w:t>
      </w:r>
      <w:r w:rsidR="00811A18">
        <w:rPr>
          <w:rFonts w:ascii="Times New Roman" w:hAnsi="Times New Roman"/>
          <w:sz w:val="24"/>
          <w:szCs w:val="24"/>
        </w:rPr>
        <w:t>, using Form MCSA-1</w:t>
      </w:r>
      <w:r w:rsidRPr="00644586">
        <w:rPr>
          <w:rFonts w:ascii="Times New Roman" w:hAnsi="Times New Roman"/>
          <w:sz w:val="24"/>
          <w:szCs w:val="24"/>
        </w:rPr>
        <w:t xml:space="preserve">. </w:t>
      </w:r>
      <w:r w:rsidRPr="00811A18" w:rsidR="00811A18">
        <w:rPr>
          <w:rFonts w:ascii="Times New Roman" w:hAnsi="Times New Roman"/>
          <w:sz w:val="24"/>
          <w:szCs w:val="24"/>
        </w:rPr>
        <w:t xml:space="preserve">Under URS, all forms described in the current ICR, except OP-1(MX), are folded into Form MCSA-1. </w:t>
      </w:r>
      <w:r w:rsidRPr="00644586">
        <w:rPr>
          <w:rFonts w:ascii="Times New Roman" w:hAnsi="Times New Roman"/>
          <w:sz w:val="24"/>
          <w:szCs w:val="24"/>
        </w:rPr>
        <w:t>Information collection activities associated with the OP-1 series of forms are covered under a different ICR, titled “Licensing Applications for Motor Carrier Operating Authority,” OMB Control No. 2126-0016.</w:t>
      </w:r>
      <w:bookmarkEnd w:id="2"/>
    </w:p>
    <w:p w:rsidR="00811A18" w:rsidP="00E9142F" w14:paraId="2F0B81A5" w14:textId="77777777">
      <w:pPr>
        <w:ind w:left="360"/>
        <w:rPr>
          <w:rFonts w:ascii="Times New Roman" w:hAnsi="Times New Roman"/>
          <w:sz w:val="24"/>
          <w:szCs w:val="24"/>
        </w:rPr>
      </w:pPr>
    </w:p>
    <w:p w:rsidR="00811A18" w:rsidRPr="00644586" w:rsidP="00E9142F" w14:paraId="38E87A54" w14:textId="0B88A6B2">
      <w:pPr>
        <w:ind w:left="360"/>
        <w:rPr>
          <w:rFonts w:ascii="Times New Roman" w:hAnsi="Times New Roman"/>
          <w:sz w:val="24"/>
          <w:szCs w:val="24"/>
        </w:rPr>
      </w:pPr>
      <w:r w:rsidRPr="00811A18">
        <w:rPr>
          <w:rFonts w:ascii="Times New Roman" w:hAnsi="Times New Roman"/>
          <w:sz w:val="24"/>
          <w:szCs w:val="24"/>
        </w:rPr>
        <w:t xml:space="preserve">Form MCSA-1 requests information to identify the applicant, the nature and scope of its proposed operations, safety-related details, and information regarding the drivers and vehicles it plans to use in U.S. operations. FMCSA and the States use registration </w:t>
      </w:r>
      <w:r w:rsidRPr="00811A18">
        <w:rPr>
          <w:rFonts w:ascii="Times New Roman" w:hAnsi="Times New Roman"/>
          <w:sz w:val="24"/>
          <w:szCs w:val="24"/>
        </w:rPr>
        <w:t>information collected via Form MCSA-1 to track motor carriers, freight forwarders, brokers, and other entities they regulate. Registering motor carriers is essential to being able to identify carriers so that their safety performance can be tracked and evaluated. The data make it possible to link individual trucks to the responsible motor carrier, thus implementing the mandate under 49 U.S.C. 31136(a)(1); that is, ensuring that CMVs are maintained and operated safely). In general, registration information collected via Form MCSA-1 informs prioritization of the Agency’s activities and aids in assessing and statistically analyzing the safety outcomes of those activities.</w:t>
      </w:r>
    </w:p>
    <w:p w:rsidR="00FF629F" w:rsidP="00E9142F" w14:paraId="0A540E29" w14:textId="77777777">
      <w:pPr>
        <w:ind w:left="360"/>
        <w:rPr>
          <w:rFonts w:ascii="Times New Roman" w:hAnsi="Times New Roman"/>
          <w:sz w:val="24"/>
          <w:szCs w:val="24"/>
        </w:rPr>
      </w:pPr>
    </w:p>
    <w:p w:rsidR="00E9142F" w:rsidRPr="00644586" w:rsidP="00E9142F" w14:paraId="541917FD" w14:textId="6E264EAE">
      <w:pPr>
        <w:ind w:left="360"/>
        <w:rPr>
          <w:rFonts w:ascii="Times New Roman" w:hAnsi="Times New Roman"/>
          <w:sz w:val="24"/>
          <w:szCs w:val="24"/>
        </w:rPr>
      </w:pPr>
      <w:r w:rsidRPr="00644586">
        <w:rPr>
          <w:rFonts w:ascii="Times New Roman" w:hAnsi="Times New Roman"/>
          <w:sz w:val="24"/>
          <w:szCs w:val="24"/>
        </w:rPr>
        <w:t>The current information collection supports the DOT Strategic Goal of Safety. It streamlines registration processes and ensures that FMCSA can more efficiently track motor carriers, freight forwarders, brokers, and other entities regulated by the Agency.</w:t>
      </w:r>
    </w:p>
    <w:p w:rsidR="00697D42" w:rsidP="00E9142F" w14:paraId="246A3AAC" w14:textId="77777777">
      <w:pPr>
        <w:tabs>
          <w:tab w:val="left" w:pos="-1440"/>
          <w:tab w:val="left" w:pos="-720"/>
        </w:tabs>
        <w:rPr>
          <w:rFonts w:ascii="Times New Roman" w:hAnsi="Times New Roman"/>
          <w:bCs/>
          <w:sz w:val="24"/>
          <w:szCs w:val="24"/>
        </w:rPr>
      </w:pPr>
    </w:p>
    <w:p w:rsidR="00E9142F" w:rsidRPr="00644586" w:rsidP="00E9142F" w14:paraId="137C2F53" w14:textId="77777777">
      <w:pPr>
        <w:numPr>
          <w:ilvl w:val="0"/>
          <w:numId w:val="18"/>
        </w:numPr>
        <w:rPr>
          <w:rFonts w:ascii="Times New Roman" w:hAnsi="Times New Roman"/>
          <w:bCs/>
          <w:sz w:val="24"/>
          <w:szCs w:val="24"/>
        </w:rPr>
      </w:pPr>
      <w:r w:rsidRPr="00644586">
        <w:rPr>
          <w:rFonts w:ascii="Times New Roman" w:hAnsi="Times New Roman"/>
          <w:b/>
          <w:bCs/>
          <w:sz w:val="24"/>
          <w:szCs w:val="24"/>
        </w:rPr>
        <w:t>HOW, BY WHOM, AND FOR WHAT PURPOSE IS THE INFORMATION USED</w:t>
      </w:r>
    </w:p>
    <w:p w:rsidR="00A542B9" w:rsidP="00E9142F" w14:paraId="35D6325D" w14:textId="77777777">
      <w:pPr>
        <w:ind w:left="360"/>
        <w:rPr>
          <w:rFonts w:ascii="Times New Roman" w:hAnsi="Times New Roman"/>
          <w:sz w:val="24"/>
          <w:szCs w:val="24"/>
        </w:rPr>
      </w:pPr>
    </w:p>
    <w:p w:rsidR="00E9142F" w:rsidRPr="00644586" w:rsidP="00E9142F" w14:paraId="1E304FA8" w14:textId="7556E90E">
      <w:pPr>
        <w:ind w:left="360"/>
        <w:rPr>
          <w:rFonts w:ascii="Times New Roman" w:hAnsi="Times New Roman"/>
          <w:sz w:val="24"/>
          <w:szCs w:val="24"/>
        </w:rPr>
      </w:pPr>
      <w:r w:rsidRPr="00644586">
        <w:rPr>
          <w:rFonts w:ascii="Times New Roman" w:hAnsi="Times New Roman"/>
          <w:sz w:val="24"/>
          <w:szCs w:val="24"/>
        </w:rPr>
        <w:t>Form MCSA-1 is an interactive, online form that allows users to see and complete only sections that are applicable to their specific operation(s). There is no paper version of Form MCSA-1; users</w:t>
      </w:r>
      <w:r>
        <w:rPr>
          <w:rFonts w:ascii="Times New Roman" w:hAnsi="Times New Roman"/>
          <w:sz w:val="24"/>
          <w:szCs w:val="24"/>
        </w:rPr>
        <w:t xml:space="preserve"> must complete the form online.</w:t>
      </w:r>
    </w:p>
    <w:p w:rsidR="00E9142F" w:rsidRPr="00644586" w:rsidP="00E9142F" w14:paraId="3E6CA4F7" w14:textId="77777777">
      <w:pPr>
        <w:ind w:left="360"/>
        <w:rPr>
          <w:rFonts w:ascii="Times New Roman" w:hAnsi="Times New Roman"/>
          <w:sz w:val="24"/>
          <w:szCs w:val="24"/>
        </w:rPr>
      </w:pPr>
    </w:p>
    <w:p w:rsidR="00E9142F" w:rsidRPr="00644586" w:rsidP="00E9142F" w14:paraId="690175C3" w14:textId="17117082">
      <w:pPr>
        <w:ind w:left="360"/>
        <w:rPr>
          <w:rFonts w:ascii="Times New Roman" w:hAnsi="Times New Roman"/>
          <w:sz w:val="24"/>
          <w:szCs w:val="24"/>
        </w:rPr>
      </w:pPr>
      <w:r w:rsidRPr="00644586">
        <w:rPr>
          <w:rFonts w:ascii="Times New Roman" w:hAnsi="Times New Roman"/>
          <w:sz w:val="24"/>
          <w:szCs w:val="24"/>
        </w:rPr>
        <w:t>As described in Item 1 above, new registrants with FMCSA must fill out Form MCSA-1.</w:t>
      </w:r>
      <w:r>
        <w:rPr>
          <w:rFonts w:ascii="Times New Roman" w:hAnsi="Times New Roman"/>
          <w:sz w:val="24"/>
          <w:szCs w:val="24"/>
        </w:rPr>
        <w:t xml:space="preserve"> </w:t>
      </w:r>
      <w:r w:rsidRPr="00644586">
        <w:rPr>
          <w:rFonts w:ascii="Times New Roman" w:hAnsi="Times New Roman"/>
          <w:sz w:val="24"/>
          <w:szCs w:val="24"/>
        </w:rPr>
        <w:t xml:space="preserve">Every interstate </w:t>
      </w:r>
      <w:r w:rsidR="00701DD9">
        <w:rPr>
          <w:rFonts w:ascii="Times New Roman" w:hAnsi="Times New Roman"/>
          <w:sz w:val="24"/>
          <w:szCs w:val="24"/>
        </w:rPr>
        <w:t xml:space="preserve">and intrastate hazardous material </w:t>
      </w:r>
      <w:r w:rsidRPr="00644586">
        <w:rPr>
          <w:rFonts w:ascii="Times New Roman" w:hAnsi="Times New Roman"/>
          <w:sz w:val="24"/>
          <w:szCs w:val="24"/>
        </w:rPr>
        <w:t xml:space="preserve">motor carrier operating commercial motor vehicles (CMVs) is required to register with FMCSA to obtain a USDOT Number. Most for-hire carriers are also required to file a separate application for operating authority under </w:t>
      </w:r>
      <w:r>
        <w:rPr>
          <w:rFonts w:ascii="Times New Roman" w:hAnsi="Times New Roman"/>
          <w:sz w:val="24"/>
          <w:szCs w:val="24"/>
        </w:rPr>
        <w:t xml:space="preserve">49 U.S.C. 13901 (Attachment </w:t>
      </w:r>
      <w:r w:rsidR="00884163">
        <w:rPr>
          <w:rFonts w:ascii="Times New Roman" w:hAnsi="Times New Roman"/>
          <w:sz w:val="24"/>
          <w:szCs w:val="24"/>
        </w:rPr>
        <w:t>G</w:t>
      </w:r>
      <w:r>
        <w:rPr>
          <w:rFonts w:ascii="Times New Roman" w:hAnsi="Times New Roman"/>
          <w:sz w:val="24"/>
          <w:szCs w:val="24"/>
        </w:rPr>
        <w:t>).</w:t>
      </w:r>
    </w:p>
    <w:p w:rsidR="00E9142F" w:rsidRPr="00644586" w:rsidP="00E9142F" w14:paraId="780FB877" w14:textId="77777777">
      <w:pPr>
        <w:ind w:left="360"/>
        <w:rPr>
          <w:rFonts w:ascii="Times New Roman" w:hAnsi="Times New Roman"/>
          <w:sz w:val="24"/>
          <w:szCs w:val="24"/>
        </w:rPr>
      </w:pPr>
    </w:p>
    <w:p w:rsidR="00E9142F" w:rsidRPr="00644586" w:rsidP="00E9142F" w14:paraId="0E24AC63" w14:textId="77777777">
      <w:pPr>
        <w:ind w:left="360"/>
        <w:rPr>
          <w:rFonts w:ascii="Times New Roman" w:hAnsi="Times New Roman"/>
          <w:sz w:val="24"/>
          <w:szCs w:val="24"/>
        </w:rPr>
      </w:pPr>
      <w:bookmarkStart w:id="3" w:name="_Hlk16259660"/>
      <w:r w:rsidRPr="00644586">
        <w:rPr>
          <w:rFonts w:ascii="Times New Roman" w:hAnsi="Times New Roman"/>
          <w:sz w:val="24"/>
          <w:szCs w:val="24"/>
        </w:rPr>
        <w:t>Form MCSA-1 requests information to identify the applicant, the nature and scope of its proposed operations, safety-related details, and information regarding the drivers and vehicles it plans to use in U.S. operations.</w:t>
      </w:r>
    </w:p>
    <w:p w:rsidR="00E9142F" w:rsidRPr="00644586" w:rsidP="00E9142F" w14:paraId="2FF60EE2" w14:textId="77777777">
      <w:pPr>
        <w:ind w:left="360"/>
        <w:rPr>
          <w:rFonts w:ascii="Times New Roman" w:hAnsi="Times New Roman"/>
          <w:sz w:val="24"/>
          <w:szCs w:val="24"/>
        </w:rPr>
      </w:pPr>
    </w:p>
    <w:p w:rsidR="00E9142F" w:rsidRPr="00644586" w:rsidP="00E9142F" w14:paraId="0DA5C16E" w14:textId="4BAE12CD">
      <w:pPr>
        <w:ind w:left="360"/>
        <w:rPr>
          <w:rFonts w:ascii="Times New Roman" w:hAnsi="Times New Roman"/>
          <w:sz w:val="24"/>
          <w:szCs w:val="24"/>
        </w:rPr>
      </w:pPr>
      <w:r w:rsidRPr="00644586">
        <w:rPr>
          <w:rFonts w:ascii="Times New Roman" w:hAnsi="Times New Roman"/>
          <w:sz w:val="24"/>
          <w:szCs w:val="24"/>
        </w:rPr>
        <w:t>FMCSA and the States use registration information collected via Form MCSA-1 to track motor carriers, freight forwarders, brokers, and other entities they regulate. Registering motor carriers is essential to being able to identify carriers so that their safety performance can be tracked and evaluated. The data make it possible to link individual trucks</w:t>
      </w:r>
      <w:r w:rsidR="00CC3E6E">
        <w:rPr>
          <w:rFonts w:ascii="Times New Roman" w:hAnsi="Times New Roman"/>
          <w:sz w:val="24"/>
          <w:szCs w:val="24"/>
        </w:rPr>
        <w:t>/buses</w:t>
      </w:r>
      <w:r w:rsidRPr="00644586">
        <w:rPr>
          <w:rFonts w:ascii="Times New Roman" w:hAnsi="Times New Roman"/>
          <w:sz w:val="24"/>
          <w:szCs w:val="24"/>
        </w:rPr>
        <w:t xml:space="preserve"> to the responsible motor carrier, thus implementing the mandate under 49 U.S.C. 31136(a)(1); that is, ensuring that CMVs are maintained and operated safely (see Attachment </w:t>
      </w:r>
      <w:r w:rsidR="00884163">
        <w:rPr>
          <w:rFonts w:ascii="Times New Roman" w:hAnsi="Times New Roman"/>
          <w:sz w:val="24"/>
          <w:szCs w:val="24"/>
        </w:rPr>
        <w:t>H</w:t>
      </w:r>
      <w:r w:rsidRPr="00644586">
        <w:rPr>
          <w:rFonts w:ascii="Times New Roman" w:hAnsi="Times New Roman"/>
          <w:sz w:val="24"/>
          <w:szCs w:val="24"/>
        </w:rPr>
        <w:t>). In general, registration information collected via Form MCSA-1 informs prioritization of the Agency’s activities and aids in assessing and statistically analyzing the safety outcomes of those activities.</w:t>
      </w:r>
    </w:p>
    <w:bookmarkEnd w:id="3"/>
    <w:p w:rsidR="00951254" w:rsidRPr="00644586" w:rsidP="00E9142F" w14:paraId="32CE577C" w14:textId="77777777">
      <w:pPr>
        <w:rPr>
          <w:rFonts w:ascii="Times New Roman" w:hAnsi="Times New Roman"/>
          <w:bCs/>
          <w:sz w:val="24"/>
          <w:szCs w:val="24"/>
        </w:rPr>
      </w:pPr>
    </w:p>
    <w:p w:rsidR="00E9142F" w:rsidRPr="00644586" w:rsidP="00E9142F" w14:paraId="06293773" w14:textId="77777777">
      <w:pPr>
        <w:numPr>
          <w:ilvl w:val="0"/>
          <w:numId w:val="18"/>
        </w:numPr>
        <w:rPr>
          <w:rFonts w:ascii="Times New Roman" w:hAnsi="Times New Roman"/>
          <w:sz w:val="24"/>
          <w:szCs w:val="24"/>
        </w:rPr>
      </w:pPr>
      <w:r w:rsidRPr="00644586">
        <w:rPr>
          <w:rFonts w:ascii="Times New Roman" w:hAnsi="Times New Roman"/>
          <w:b/>
          <w:bCs/>
          <w:sz w:val="24"/>
          <w:szCs w:val="24"/>
        </w:rPr>
        <w:t>EXTENT OF AUTOMATED INFORMATION COLLECTION</w:t>
      </w:r>
    </w:p>
    <w:p w:rsidR="00A542B9" w:rsidP="00E9142F" w14:paraId="300A4E06" w14:textId="77777777">
      <w:pPr>
        <w:ind w:left="360"/>
        <w:rPr>
          <w:rFonts w:ascii="Times New Roman" w:hAnsi="Times New Roman"/>
          <w:sz w:val="24"/>
          <w:szCs w:val="24"/>
        </w:rPr>
      </w:pPr>
    </w:p>
    <w:p w:rsidR="00E9142F" w:rsidRPr="00644586" w:rsidP="00E9142F" w14:paraId="7640E8D4" w14:textId="4DB48490">
      <w:pPr>
        <w:ind w:left="360"/>
        <w:rPr>
          <w:rFonts w:ascii="Times New Roman" w:hAnsi="Times New Roman"/>
          <w:sz w:val="24"/>
          <w:szCs w:val="24"/>
        </w:rPr>
      </w:pPr>
      <w:r w:rsidRPr="3E2FF4CE">
        <w:rPr>
          <w:rFonts w:ascii="Times New Roman" w:hAnsi="Times New Roman"/>
          <w:sz w:val="24"/>
          <w:szCs w:val="24"/>
        </w:rPr>
        <w:t xml:space="preserve">The Government Paperwork Elimination Act (GPEA), Public Law 105-277 (October 21, 1988), requires agencies to provide for the option of electronic submission of information and the use of electronic signatures, when practicable (See Attachment </w:t>
      </w:r>
      <w:r w:rsidRPr="3E2FF4CE" w:rsidR="00884163">
        <w:rPr>
          <w:rFonts w:ascii="Times New Roman" w:hAnsi="Times New Roman"/>
          <w:sz w:val="24"/>
          <w:szCs w:val="24"/>
        </w:rPr>
        <w:t>I</w:t>
      </w:r>
      <w:r w:rsidRPr="3E2FF4CE">
        <w:rPr>
          <w:rFonts w:ascii="Times New Roman" w:hAnsi="Times New Roman"/>
          <w:sz w:val="24"/>
          <w:szCs w:val="24"/>
        </w:rPr>
        <w:t xml:space="preserve">). </w:t>
      </w:r>
      <w:r w:rsidRPr="3E2FF4CE" w:rsidR="00B80E50">
        <w:rPr>
          <w:rFonts w:ascii="Times New Roman" w:hAnsi="Times New Roman"/>
          <w:sz w:val="24"/>
          <w:szCs w:val="24"/>
        </w:rPr>
        <w:t>Form MCSA-1 is exclusively available online; thus, 100 percent of the information collection activities associated with Form MCSA-1 are automated.</w:t>
      </w:r>
    </w:p>
    <w:p w:rsidR="00E9142F" w:rsidRPr="00644586" w:rsidP="00E9142F" w14:paraId="3D6082E3" w14:textId="77777777">
      <w:pPr>
        <w:pStyle w:val="NormalWeb"/>
        <w:numPr>
          <w:ilvl w:val="0"/>
          <w:numId w:val="18"/>
        </w:numPr>
        <w:spacing w:before="0" w:beforeAutospacing="0" w:after="0" w:afterAutospacing="0"/>
        <w:rPr>
          <w:rFonts w:ascii="Times New Roman" w:hAnsi="Times New Roman" w:cs="Times New Roman"/>
          <w:b/>
          <w:bCs/>
        </w:rPr>
      </w:pPr>
      <w:r w:rsidRPr="00644586">
        <w:rPr>
          <w:rFonts w:ascii="Times New Roman" w:hAnsi="Times New Roman" w:cs="Times New Roman"/>
          <w:b/>
          <w:bCs/>
        </w:rPr>
        <w:t>EFFORTS TO IDENTIFY DUPLICATION</w:t>
      </w:r>
    </w:p>
    <w:p w:rsidR="00A542B9" w:rsidP="00E9142F" w14:paraId="7BB2F818" w14:textId="77777777">
      <w:pPr>
        <w:ind w:left="360"/>
        <w:rPr>
          <w:rFonts w:ascii="Times New Roman" w:hAnsi="Times New Roman"/>
          <w:sz w:val="24"/>
          <w:szCs w:val="24"/>
        </w:rPr>
      </w:pPr>
    </w:p>
    <w:p w:rsidR="00E9142F" w:rsidRPr="00644586" w:rsidP="00E9142F" w14:paraId="3A8A22CB" w14:textId="1A289FDA">
      <w:pPr>
        <w:ind w:left="360"/>
        <w:rPr>
          <w:rFonts w:ascii="Times New Roman" w:hAnsi="Times New Roman"/>
          <w:sz w:val="24"/>
          <w:szCs w:val="24"/>
        </w:rPr>
      </w:pPr>
      <w:r w:rsidRPr="00644586">
        <w:rPr>
          <w:rFonts w:ascii="Times New Roman" w:hAnsi="Times New Roman"/>
          <w:sz w:val="24"/>
          <w:szCs w:val="24"/>
        </w:rPr>
        <w:t>Federal rules promulgated by the Pipeline and Hazardous Materials Safety Administration (PHMSA) may duplicate the URS provisions to some extent, as they relate to hazardous materials (HM) motor carriers required to register under PHMSA’s Hazardous Material Registration System.</w:t>
      </w:r>
      <w:r>
        <w:rPr>
          <w:rFonts w:ascii="Times New Roman" w:hAnsi="Times New Roman"/>
          <w:sz w:val="24"/>
          <w:szCs w:val="24"/>
        </w:rPr>
        <w:t xml:space="preserve"> </w:t>
      </w:r>
      <w:r w:rsidRPr="00644586">
        <w:rPr>
          <w:rFonts w:ascii="Times New Roman" w:hAnsi="Times New Roman"/>
          <w:sz w:val="24"/>
          <w:szCs w:val="24"/>
        </w:rPr>
        <w:t>However, other than the basic identification information—i.e., company name, address, and DOT number(s)—the information filed for PHMSA and FMCSA does not overlap. PHMSA’s Hazardous Material Registration System cannot be combined with URS. Further, PHMSA’s Hazardous Material Registration System contains data for many entities that are not regulated by FMCSA (e.g., airlines, ship lines, and railroads), while URS contains data for entities that are not regulated by PHMSA (e.g., non-HM carriers, brokers, etc.).</w:t>
      </w:r>
      <w:r>
        <w:rPr>
          <w:rFonts w:ascii="Times New Roman" w:hAnsi="Times New Roman"/>
          <w:sz w:val="24"/>
          <w:szCs w:val="24"/>
        </w:rPr>
        <w:t xml:space="preserve"> </w:t>
      </w:r>
      <w:r w:rsidR="00FF629F">
        <w:rPr>
          <w:rFonts w:ascii="Times New Roman" w:hAnsi="Times New Roman"/>
          <w:sz w:val="24"/>
          <w:szCs w:val="24"/>
        </w:rPr>
        <w:t>T</w:t>
      </w:r>
      <w:r w:rsidRPr="00644586">
        <w:rPr>
          <w:rFonts w:ascii="Times New Roman" w:hAnsi="Times New Roman"/>
          <w:sz w:val="24"/>
          <w:szCs w:val="24"/>
        </w:rPr>
        <w:t>he HM-related information collected is different, as the PHMSA system aggregates data at a higher level than FMCSA. The two information collections also serve different purposes. PHMSA’s information collection is meant to determine whether the carriers are small entities (and therefore subject to lower fees). FMCSA’s information collection serves multiple purposes, discussed in Item 2 (above), that require more detailed data. There are no other similar filings made with any other Federal agency that would result in duplication of this information.</w:t>
      </w:r>
    </w:p>
    <w:p w:rsidR="00951254" w:rsidRPr="00EB4EC8" w:rsidP="00E9142F" w14:paraId="24628264" w14:textId="77777777">
      <w:pPr>
        <w:outlineLvl w:val="0"/>
        <w:rPr>
          <w:rFonts w:ascii="Times New Roman" w:hAnsi="Times New Roman"/>
          <w:bCs/>
          <w:sz w:val="24"/>
          <w:szCs w:val="24"/>
        </w:rPr>
      </w:pPr>
    </w:p>
    <w:p w:rsidR="00E9142F" w:rsidRPr="00644586" w:rsidP="00E9142F" w14:paraId="5BE28182" w14:textId="77777777">
      <w:pPr>
        <w:numPr>
          <w:ilvl w:val="0"/>
          <w:numId w:val="18"/>
        </w:numPr>
        <w:rPr>
          <w:rFonts w:ascii="Times New Roman" w:hAnsi="Times New Roman"/>
          <w:sz w:val="24"/>
          <w:szCs w:val="24"/>
        </w:rPr>
      </w:pPr>
      <w:r w:rsidRPr="00644586">
        <w:rPr>
          <w:rFonts w:ascii="Times New Roman" w:hAnsi="Times New Roman"/>
          <w:b/>
          <w:bCs/>
          <w:sz w:val="24"/>
          <w:szCs w:val="24"/>
        </w:rPr>
        <w:t>EFFORTS TO MINIMIZE THE BURDEN ON SMALL BUSINESSES</w:t>
      </w:r>
    </w:p>
    <w:p w:rsidR="00A542B9" w:rsidP="00E9142F" w14:paraId="61FF9113" w14:textId="77777777">
      <w:pPr>
        <w:ind w:left="360"/>
        <w:rPr>
          <w:rFonts w:ascii="Times New Roman" w:hAnsi="Times New Roman"/>
          <w:sz w:val="24"/>
          <w:szCs w:val="24"/>
        </w:rPr>
      </w:pPr>
    </w:p>
    <w:p w:rsidR="00E9142F" w:rsidRPr="00644586" w:rsidP="00E9142F" w14:paraId="1B8F500A" w14:textId="23893694">
      <w:pPr>
        <w:ind w:left="360"/>
        <w:rPr>
          <w:rFonts w:ascii="Times New Roman" w:hAnsi="Times New Roman"/>
          <w:sz w:val="24"/>
          <w:szCs w:val="24"/>
        </w:rPr>
      </w:pPr>
      <w:r w:rsidRPr="00644586">
        <w:rPr>
          <w:rFonts w:ascii="Times New Roman" w:hAnsi="Times New Roman"/>
          <w:sz w:val="24"/>
          <w:szCs w:val="24"/>
        </w:rPr>
        <w:t xml:space="preserve">Form MCSA-1 reduces the burden on first-time small businesses applicants that are subject to both FMCSA commercial and safety jurisdiction by eliminating the filing of multiple forms (i.e., the OP-1 series of forms) that request some of the same information. </w:t>
      </w:r>
      <w:r>
        <w:rPr>
          <w:rFonts w:ascii="Times New Roman" w:hAnsi="Times New Roman"/>
          <w:sz w:val="24"/>
          <w:szCs w:val="24"/>
        </w:rPr>
        <w:t xml:space="preserve"> </w:t>
      </w:r>
      <w:r w:rsidRPr="00644586">
        <w:rPr>
          <w:rFonts w:ascii="Times New Roman" w:hAnsi="Times New Roman"/>
          <w:sz w:val="24"/>
          <w:szCs w:val="24"/>
        </w:rPr>
        <w:t>Online filing also limits the cost of submission and speeds the process of obtaining USDOT numbers needed to begin operating.</w:t>
      </w:r>
    </w:p>
    <w:p w:rsidR="00E9142F" w:rsidRPr="00644586" w:rsidP="00E9142F" w14:paraId="2EEDDD7D" w14:textId="77777777">
      <w:pPr>
        <w:rPr>
          <w:rFonts w:ascii="Times New Roman" w:hAnsi="Times New Roman"/>
          <w:sz w:val="24"/>
          <w:szCs w:val="24"/>
        </w:rPr>
      </w:pPr>
    </w:p>
    <w:p w:rsidR="00E9142F" w:rsidRPr="00644586" w:rsidP="00E9142F" w14:paraId="7656CF09" w14:textId="77777777">
      <w:pPr>
        <w:numPr>
          <w:ilvl w:val="0"/>
          <w:numId w:val="18"/>
        </w:numPr>
        <w:rPr>
          <w:rFonts w:ascii="Times New Roman" w:hAnsi="Times New Roman"/>
          <w:sz w:val="24"/>
          <w:szCs w:val="24"/>
        </w:rPr>
      </w:pPr>
      <w:r w:rsidRPr="00644586">
        <w:rPr>
          <w:rFonts w:ascii="Times New Roman" w:hAnsi="Times New Roman"/>
          <w:b/>
          <w:bCs/>
          <w:sz w:val="24"/>
          <w:szCs w:val="24"/>
        </w:rPr>
        <w:t>IMPACT OF LESS FREQUENT COLLECTION OF INFORMATION</w:t>
      </w:r>
    </w:p>
    <w:p w:rsidR="00A542B9" w:rsidP="00E9142F" w14:paraId="4BC006C1" w14:textId="77777777">
      <w:pPr>
        <w:ind w:left="360"/>
        <w:rPr>
          <w:rFonts w:ascii="Times New Roman" w:hAnsi="Times New Roman"/>
          <w:sz w:val="24"/>
          <w:szCs w:val="24"/>
        </w:rPr>
      </w:pPr>
    </w:p>
    <w:p w:rsidR="00E9142F" w:rsidRPr="00644586" w:rsidP="00E9142F" w14:paraId="7B51892C" w14:textId="30C8FC3E">
      <w:pPr>
        <w:ind w:left="360"/>
        <w:rPr>
          <w:rFonts w:ascii="Times New Roman" w:hAnsi="Times New Roman"/>
          <w:sz w:val="24"/>
          <w:szCs w:val="24"/>
        </w:rPr>
      </w:pPr>
      <w:r w:rsidRPr="00644586">
        <w:rPr>
          <w:rFonts w:ascii="Times New Roman" w:hAnsi="Times New Roman"/>
          <w:sz w:val="24"/>
          <w:szCs w:val="24"/>
        </w:rPr>
        <w:t>The information on Form MCSA-1 is collected only at initial registration (i.e., it is a one-time collection of information). However, motor carriers are required to update their registration information biennially. This is done using Form MCS-150. Information collection activities associated with Form MCS-150 are covered under a different ICR, titled “Motor Carrier Identification Report,” OMB Control No. 2126-0013. FMCSA believes that a longer update cycle simply will not provide the Agency with the basic data it needs to perform its safety mission efficiently or effectively.</w:t>
      </w:r>
    </w:p>
    <w:p w:rsidR="00951254" w:rsidRPr="00644586" w:rsidP="00E9142F" w14:paraId="3B275F8F" w14:textId="77777777">
      <w:pPr>
        <w:rPr>
          <w:rFonts w:ascii="Times New Roman" w:hAnsi="Times New Roman"/>
          <w:sz w:val="24"/>
          <w:szCs w:val="24"/>
        </w:rPr>
      </w:pPr>
    </w:p>
    <w:p w:rsidR="00E9142F" w:rsidRPr="00644586" w:rsidP="00E9142F" w14:paraId="456A02CE" w14:textId="77777777">
      <w:pPr>
        <w:numPr>
          <w:ilvl w:val="0"/>
          <w:numId w:val="18"/>
        </w:numPr>
        <w:rPr>
          <w:rFonts w:ascii="Times New Roman" w:hAnsi="Times New Roman"/>
          <w:sz w:val="24"/>
          <w:szCs w:val="24"/>
        </w:rPr>
      </w:pPr>
      <w:r w:rsidRPr="00644586">
        <w:rPr>
          <w:rFonts w:ascii="Times New Roman" w:hAnsi="Times New Roman"/>
          <w:b/>
          <w:bCs/>
          <w:sz w:val="24"/>
          <w:szCs w:val="24"/>
        </w:rPr>
        <w:t>SPECIAL CIRCUMSTANCES</w:t>
      </w:r>
    </w:p>
    <w:p w:rsidR="007E32C8" w:rsidP="00E9142F" w14:paraId="4410903F" w14:textId="77777777">
      <w:pPr>
        <w:ind w:left="360"/>
        <w:rPr>
          <w:rFonts w:ascii="Times New Roman" w:hAnsi="Times New Roman"/>
          <w:sz w:val="24"/>
          <w:szCs w:val="24"/>
        </w:rPr>
      </w:pPr>
    </w:p>
    <w:p w:rsidR="00E9142F" w:rsidRPr="00644586" w:rsidP="00E9142F" w14:paraId="0EFA7959" w14:textId="42636E9F">
      <w:pPr>
        <w:ind w:left="360"/>
        <w:rPr>
          <w:rFonts w:ascii="Times New Roman" w:hAnsi="Times New Roman"/>
          <w:sz w:val="24"/>
          <w:szCs w:val="24"/>
        </w:rPr>
      </w:pPr>
      <w:r>
        <w:rPr>
          <w:rFonts w:ascii="Times New Roman" w:hAnsi="Times New Roman"/>
          <w:sz w:val="24"/>
          <w:szCs w:val="24"/>
        </w:rPr>
        <w:t>There are n</w:t>
      </w:r>
      <w:r w:rsidRPr="00644586" w:rsidR="00B80E50">
        <w:rPr>
          <w:rFonts w:ascii="Times New Roman" w:hAnsi="Times New Roman"/>
          <w:sz w:val="24"/>
          <w:szCs w:val="24"/>
        </w:rPr>
        <w:t xml:space="preserve">o special circumstances </w:t>
      </w:r>
      <w:r w:rsidR="00034CD6">
        <w:rPr>
          <w:rFonts w:ascii="Times New Roman" w:hAnsi="Times New Roman"/>
          <w:sz w:val="24"/>
          <w:szCs w:val="24"/>
        </w:rPr>
        <w:t xml:space="preserve">related </w:t>
      </w:r>
      <w:r w:rsidRPr="00644586" w:rsidR="00B80E50">
        <w:rPr>
          <w:rFonts w:ascii="Times New Roman" w:hAnsi="Times New Roman"/>
          <w:sz w:val="24"/>
          <w:szCs w:val="24"/>
        </w:rPr>
        <w:t>to this information collection.</w:t>
      </w:r>
    </w:p>
    <w:p w:rsidR="00951254" w:rsidRPr="00644586" w:rsidP="00E9142F" w14:paraId="32C50A62" w14:textId="77777777">
      <w:pPr>
        <w:rPr>
          <w:rFonts w:ascii="Times New Roman" w:hAnsi="Times New Roman"/>
          <w:sz w:val="24"/>
          <w:szCs w:val="24"/>
        </w:rPr>
      </w:pPr>
    </w:p>
    <w:p w:rsidR="00E9142F" w:rsidRPr="00644586" w:rsidP="00E9142F" w14:paraId="10C78307" w14:textId="77777777">
      <w:pPr>
        <w:numPr>
          <w:ilvl w:val="0"/>
          <w:numId w:val="18"/>
        </w:numPr>
        <w:rPr>
          <w:rFonts w:ascii="Times New Roman" w:hAnsi="Times New Roman"/>
          <w:b/>
          <w:bCs/>
          <w:sz w:val="24"/>
          <w:szCs w:val="24"/>
        </w:rPr>
      </w:pPr>
      <w:r w:rsidRPr="00644586">
        <w:rPr>
          <w:rFonts w:ascii="Times New Roman" w:hAnsi="Times New Roman"/>
          <w:b/>
          <w:bCs/>
          <w:sz w:val="24"/>
          <w:szCs w:val="24"/>
        </w:rPr>
        <w:t>COMPLIANCE WITH 5 CFR 1320.8</w:t>
      </w:r>
      <w:r w:rsidRPr="00644586">
        <w:rPr>
          <w:rFonts w:ascii="Times New Roman" w:hAnsi="Times New Roman"/>
          <w:bCs/>
          <w:sz w:val="24"/>
          <w:szCs w:val="24"/>
        </w:rPr>
        <w:t>:</w:t>
      </w:r>
    </w:p>
    <w:p w:rsidR="00034CD6" w:rsidP="00E9142F" w14:paraId="02160C03" w14:textId="77777777">
      <w:pPr>
        <w:ind w:left="360"/>
        <w:rPr>
          <w:rFonts w:ascii="Times New Roman" w:hAnsi="Times New Roman"/>
          <w:sz w:val="24"/>
          <w:szCs w:val="24"/>
        </w:rPr>
      </w:pPr>
    </w:p>
    <w:p w:rsidR="00E9142F" w:rsidRPr="00644586" w:rsidP="00E9142F" w14:paraId="50FA68C7" w14:textId="2F03F201">
      <w:pPr>
        <w:ind w:left="360"/>
        <w:rPr>
          <w:rFonts w:ascii="Times New Roman" w:hAnsi="Times New Roman"/>
          <w:sz w:val="24"/>
          <w:szCs w:val="24"/>
        </w:rPr>
      </w:pPr>
      <w:r w:rsidRPr="00F55AD3">
        <w:rPr>
          <w:rFonts w:ascii="Times New Roman" w:hAnsi="Times New Roman"/>
          <w:sz w:val="24"/>
          <w:szCs w:val="24"/>
        </w:rPr>
        <w:t>On November</w:t>
      </w:r>
      <w:r w:rsidRPr="00F55AD3" w:rsidR="00780D34">
        <w:rPr>
          <w:rFonts w:ascii="Times New Roman" w:hAnsi="Times New Roman"/>
          <w:sz w:val="24"/>
          <w:szCs w:val="24"/>
        </w:rPr>
        <w:t xml:space="preserve"> 17, 2025, </w:t>
      </w:r>
      <w:r w:rsidRPr="00F55AD3" w:rsidR="00B80E50">
        <w:rPr>
          <w:rFonts w:ascii="Times New Roman" w:hAnsi="Times New Roman"/>
          <w:sz w:val="24"/>
          <w:szCs w:val="24"/>
        </w:rPr>
        <w:t xml:space="preserve">FMCSA </w:t>
      </w:r>
      <w:r w:rsidRPr="00F55AD3" w:rsidR="00780D34">
        <w:rPr>
          <w:rFonts w:ascii="Times New Roman" w:hAnsi="Times New Roman"/>
          <w:sz w:val="24"/>
          <w:szCs w:val="24"/>
        </w:rPr>
        <w:t xml:space="preserve">published a </w:t>
      </w:r>
      <w:r w:rsidR="008E3136">
        <w:rPr>
          <w:rFonts w:ascii="Times New Roman" w:hAnsi="Times New Roman"/>
          <w:sz w:val="24"/>
          <w:szCs w:val="24"/>
        </w:rPr>
        <w:t xml:space="preserve">Federal Register </w:t>
      </w:r>
      <w:r w:rsidRPr="00F55AD3" w:rsidR="00780D34">
        <w:rPr>
          <w:rFonts w:ascii="Times New Roman" w:hAnsi="Times New Roman"/>
          <w:sz w:val="24"/>
          <w:szCs w:val="24"/>
        </w:rPr>
        <w:t xml:space="preserve">notice (90 FR 51436) </w:t>
      </w:r>
      <w:r w:rsidR="008E3136">
        <w:rPr>
          <w:rFonts w:ascii="Times New Roman" w:hAnsi="Times New Roman"/>
          <w:sz w:val="24"/>
          <w:szCs w:val="24"/>
        </w:rPr>
        <w:t xml:space="preserve">allowing </w:t>
      </w:r>
      <w:r w:rsidR="00D16A89">
        <w:rPr>
          <w:rFonts w:ascii="Times New Roman" w:hAnsi="Times New Roman"/>
          <w:sz w:val="24"/>
          <w:szCs w:val="24"/>
        </w:rPr>
        <w:t>for</w:t>
      </w:r>
      <w:r w:rsidRPr="00F55AD3" w:rsidR="00780D34">
        <w:rPr>
          <w:rFonts w:ascii="Times New Roman" w:hAnsi="Times New Roman"/>
          <w:sz w:val="24"/>
          <w:szCs w:val="24"/>
        </w:rPr>
        <w:t xml:space="preserve"> a 60-day comment</w:t>
      </w:r>
      <w:r w:rsidRPr="00F55AD3" w:rsidR="000D0099">
        <w:rPr>
          <w:rFonts w:ascii="Times New Roman" w:hAnsi="Times New Roman"/>
          <w:sz w:val="24"/>
          <w:szCs w:val="24"/>
        </w:rPr>
        <w:t xml:space="preserve"> period to announce its intention to seek OMB review and approval to renew this ICR (see Attachment </w:t>
      </w:r>
      <w:r w:rsidR="004C0B3A">
        <w:rPr>
          <w:rFonts w:ascii="Times New Roman" w:hAnsi="Times New Roman"/>
          <w:sz w:val="24"/>
          <w:szCs w:val="24"/>
        </w:rPr>
        <w:t>J</w:t>
      </w:r>
      <w:r w:rsidRPr="00F55AD3" w:rsidR="000D0099">
        <w:rPr>
          <w:rFonts w:ascii="Times New Roman" w:hAnsi="Times New Roman"/>
          <w:sz w:val="24"/>
          <w:szCs w:val="24"/>
        </w:rPr>
        <w:t>)</w:t>
      </w:r>
      <w:r w:rsidRPr="00F55AD3" w:rsidR="006045C9">
        <w:rPr>
          <w:rFonts w:ascii="Times New Roman" w:hAnsi="Times New Roman"/>
          <w:sz w:val="24"/>
          <w:szCs w:val="24"/>
        </w:rPr>
        <w:t>.</w:t>
      </w:r>
      <w:r w:rsidRPr="00F55AD3" w:rsidR="00AE47DE">
        <w:rPr>
          <w:rFonts w:ascii="Times New Roman" w:hAnsi="Times New Roman"/>
          <w:sz w:val="24"/>
          <w:szCs w:val="24"/>
        </w:rPr>
        <w:t xml:space="preserve"> </w:t>
      </w:r>
      <w:r w:rsidR="00FC23D5">
        <w:rPr>
          <w:rFonts w:ascii="Times New Roman" w:hAnsi="Times New Roman"/>
          <w:sz w:val="24"/>
          <w:szCs w:val="24"/>
        </w:rPr>
        <w:t xml:space="preserve">The comment period closed on January 16, </w:t>
      </w:r>
      <w:r w:rsidR="00FC23D5">
        <w:rPr>
          <w:rFonts w:ascii="Times New Roman" w:hAnsi="Times New Roman"/>
          <w:sz w:val="24"/>
          <w:szCs w:val="24"/>
        </w:rPr>
        <w:t>2026. There were</w:t>
      </w:r>
      <w:r w:rsidRPr="00F55AD3" w:rsidR="00AE47DE">
        <w:rPr>
          <w:rFonts w:ascii="Times New Roman" w:hAnsi="Times New Roman"/>
          <w:sz w:val="24"/>
          <w:szCs w:val="24"/>
        </w:rPr>
        <w:t xml:space="preserve"> no comments</w:t>
      </w:r>
      <w:r w:rsidRPr="00F55AD3" w:rsidR="006045C9">
        <w:rPr>
          <w:rFonts w:ascii="Times New Roman" w:hAnsi="Times New Roman"/>
          <w:sz w:val="24"/>
          <w:szCs w:val="24"/>
        </w:rPr>
        <w:t xml:space="preserve"> </w:t>
      </w:r>
      <w:r w:rsidR="007C1911">
        <w:rPr>
          <w:rFonts w:ascii="Times New Roman" w:hAnsi="Times New Roman"/>
          <w:sz w:val="24"/>
          <w:szCs w:val="24"/>
        </w:rPr>
        <w:t xml:space="preserve">submitted </w:t>
      </w:r>
      <w:r w:rsidRPr="00F55AD3" w:rsidR="006045C9">
        <w:rPr>
          <w:rFonts w:ascii="Times New Roman" w:hAnsi="Times New Roman"/>
          <w:sz w:val="24"/>
          <w:szCs w:val="24"/>
        </w:rPr>
        <w:t>in response to th</w:t>
      </w:r>
      <w:r w:rsidR="007C1911">
        <w:rPr>
          <w:rFonts w:ascii="Times New Roman" w:hAnsi="Times New Roman"/>
          <w:sz w:val="24"/>
          <w:szCs w:val="24"/>
        </w:rPr>
        <w:t>at</w:t>
      </w:r>
      <w:r w:rsidRPr="00F55AD3" w:rsidR="006045C9">
        <w:rPr>
          <w:rFonts w:ascii="Times New Roman" w:hAnsi="Times New Roman"/>
          <w:sz w:val="24"/>
          <w:szCs w:val="24"/>
        </w:rPr>
        <w:t xml:space="preserve"> notice. </w:t>
      </w:r>
      <w:r w:rsidRPr="00F55AD3" w:rsidR="00FF1954">
        <w:rPr>
          <w:rFonts w:ascii="Times New Roman" w:hAnsi="Times New Roman"/>
          <w:sz w:val="24"/>
          <w:szCs w:val="24"/>
        </w:rPr>
        <w:t>FMCSA consistently works with industry stakeholders to discuss data collection for this form.</w:t>
      </w:r>
      <w:r w:rsidRPr="00F55AD3" w:rsidR="00AE47DE">
        <w:rPr>
          <w:rFonts w:ascii="Times New Roman" w:hAnsi="Times New Roman"/>
          <w:sz w:val="24"/>
          <w:szCs w:val="24"/>
        </w:rPr>
        <w:t xml:space="preserve"> FMCSA will publish </w:t>
      </w:r>
      <w:r w:rsidRPr="00F55AD3" w:rsidR="00541255">
        <w:rPr>
          <w:rFonts w:ascii="Times New Roman" w:hAnsi="Times New Roman"/>
          <w:sz w:val="24"/>
          <w:szCs w:val="24"/>
        </w:rPr>
        <w:t xml:space="preserve">a 30-day </w:t>
      </w:r>
      <w:r w:rsidRPr="00F55AD3" w:rsidR="00AE47DE">
        <w:rPr>
          <w:rFonts w:ascii="Times New Roman" w:hAnsi="Times New Roman"/>
          <w:sz w:val="24"/>
          <w:szCs w:val="24"/>
        </w:rPr>
        <w:t>notice in the</w:t>
      </w:r>
      <w:r w:rsidRPr="00F55AD3" w:rsidR="002C6AB2">
        <w:rPr>
          <w:rFonts w:ascii="Times New Roman" w:hAnsi="Times New Roman"/>
          <w:sz w:val="24"/>
          <w:szCs w:val="24"/>
        </w:rPr>
        <w:t xml:space="preserve"> </w:t>
      </w:r>
      <w:r w:rsidRPr="00F55AD3" w:rsidR="00B80E50">
        <w:rPr>
          <w:rFonts w:ascii="Times New Roman" w:hAnsi="Times New Roman"/>
          <w:sz w:val="24"/>
          <w:szCs w:val="24"/>
        </w:rPr>
        <w:t xml:space="preserve">Federal Register </w:t>
      </w:r>
      <w:r w:rsidRPr="00F55AD3" w:rsidR="00AE47DE">
        <w:rPr>
          <w:rFonts w:ascii="Times New Roman" w:hAnsi="Times New Roman"/>
          <w:sz w:val="24"/>
          <w:szCs w:val="24"/>
        </w:rPr>
        <w:t xml:space="preserve">requesting public comments on the proposed renewal of this information collection. </w:t>
      </w:r>
      <w:r w:rsidRPr="00F55AD3" w:rsidR="00FC2F6D">
        <w:rPr>
          <w:rFonts w:ascii="Times New Roman" w:hAnsi="Times New Roman"/>
          <w:sz w:val="24"/>
          <w:szCs w:val="24"/>
        </w:rPr>
        <w:t>Should comments be received in response to th</w:t>
      </w:r>
      <w:r w:rsidRPr="00F55AD3" w:rsidR="00541255">
        <w:rPr>
          <w:rFonts w:ascii="Times New Roman" w:hAnsi="Times New Roman"/>
          <w:sz w:val="24"/>
          <w:szCs w:val="24"/>
        </w:rPr>
        <w:t>is</w:t>
      </w:r>
      <w:r w:rsidRPr="00F55AD3" w:rsidR="00FC2F6D">
        <w:rPr>
          <w:rFonts w:ascii="Times New Roman" w:hAnsi="Times New Roman"/>
          <w:sz w:val="24"/>
          <w:szCs w:val="24"/>
        </w:rPr>
        <w:t xml:space="preserve"> notice, FMCSA will update this document with a summary of comments and FMCSA’s responses to them</w:t>
      </w:r>
      <w:r w:rsidRPr="00F55AD3" w:rsidR="00B80E50">
        <w:rPr>
          <w:rFonts w:ascii="Times New Roman" w:hAnsi="Times New Roman"/>
          <w:sz w:val="24"/>
          <w:szCs w:val="24"/>
        </w:rPr>
        <w:t>.</w:t>
      </w:r>
    </w:p>
    <w:p w:rsidR="00E9142F" w:rsidP="00E9142F" w14:paraId="598C98E3" w14:textId="71AE91C2">
      <w:pPr>
        <w:rPr>
          <w:rFonts w:ascii="Times New Roman" w:hAnsi="Times New Roman"/>
          <w:sz w:val="24"/>
          <w:szCs w:val="24"/>
        </w:rPr>
      </w:pPr>
    </w:p>
    <w:p w:rsidR="00E9142F" w:rsidRPr="00644586" w:rsidP="00E9142F" w14:paraId="01D216C2" w14:textId="77777777">
      <w:pPr>
        <w:numPr>
          <w:ilvl w:val="0"/>
          <w:numId w:val="18"/>
        </w:numPr>
        <w:rPr>
          <w:rFonts w:ascii="Times New Roman" w:hAnsi="Times New Roman"/>
          <w:sz w:val="24"/>
          <w:szCs w:val="24"/>
        </w:rPr>
      </w:pPr>
      <w:r w:rsidRPr="00644586">
        <w:rPr>
          <w:rFonts w:ascii="Times New Roman" w:hAnsi="Times New Roman"/>
          <w:b/>
          <w:bCs/>
          <w:sz w:val="24"/>
          <w:szCs w:val="24"/>
        </w:rPr>
        <w:t>PAYMENTS OR GIFTS TO RESPONDENTS</w:t>
      </w:r>
    </w:p>
    <w:p w:rsidR="00034CD6" w:rsidP="00951254" w14:paraId="3F6B555A" w14:textId="77777777">
      <w:pPr>
        <w:ind w:left="360"/>
        <w:rPr>
          <w:rFonts w:ascii="Times New Roman" w:hAnsi="Times New Roman"/>
          <w:sz w:val="24"/>
          <w:szCs w:val="24"/>
        </w:rPr>
      </w:pPr>
    </w:p>
    <w:p w:rsidR="00E9142F" w:rsidRPr="00951254" w:rsidP="00951254" w14:paraId="1EC89358" w14:textId="22D779E0">
      <w:pPr>
        <w:ind w:left="360"/>
        <w:rPr>
          <w:rFonts w:ascii="Times New Roman" w:hAnsi="Times New Roman"/>
          <w:b/>
          <w:bCs/>
          <w:sz w:val="24"/>
          <w:szCs w:val="24"/>
        </w:rPr>
      </w:pPr>
      <w:r w:rsidRPr="00644586">
        <w:rPr>
          <w:rFonts w:ascii="Times New Roman" w:hAnsi="Times New Roman"/>
          <w:sz w:val="24"/>
          <w:szCs w:val="24"/>
        </w:rPr>
        <w:t>Respondents are not provided with any payment or gift for this information collection.</w:t>
      </w:r>
    </w:p>
    <w:p w:rsidR="00951254" w:rsidRPr="00644586" w:rsidP="00E9142F" w14:paraId="2D21587B" w14:textId="77777777">
      <w:pPr>
        <w:rPr>
          <w:rFonts w:ascii="Times New Roman" w:hAnsi="Times New Roman"/>
          <w:sz w:val="24"/>
          <w:szCs w:val="24"/>
        </w:rPr>
      </w:pPr>
    </w:p>
    <w:p w:rsidR="00E9142F" w:rsidRPr="00644586" w:rsidP="00E9142F" w14:paraId="3D167117" w14:textId="77777777">
      <w:pPr>
        <w:numPr>
          <w:ilvl w:val="0"/>
          <w:numId w:val="18"/>
        </w:numPr>
        <w:rPr>
          <w:rFonts w:ascii="Times New Roman" w:hAnsi="Times New Roman"/>
          <w:sz w:val="24"/>
          <w:szCs w:val="24"/>
        </w:rPr>
      </w:pPr>
      <w:r w:rsidRPr="00644586">
        <w:rPr>
          <w:rFonts w:ascii="Times New Roman" w:hAnsi="Times New Roman"/>
          <w:b/>
          <w:bCs/>
          <w:sz w:val="24"/>
          <w:szCs w:val="24"/>
        </w:rPr>
        <w:t>ASSURANCE OF CONFIDENTIALITY</w:t>
      </w:r>
    </w:p>
    <w:p w:rsidR="00034CD6" w:rsidP="00E9142F" w14:paraId="50C53135" w14:textId="77777777">
      <w:pPr>
        <w:ind w:left="360"/>
        <w:rPr>
          <w:rFonts w:ascii="Times New Roman" w:hAnsi="Times New Roman"/>
          <w:sz w:val="24"/>
          <w:szCs w:val="24"/>
        </w:rPr>
      </w:pPr>
    </w:p>
    <w:p w:rsidR="00E9142F" w:rsidP="00E9142F" w14:paraId="20FD450A" w14:textId="682D2397">
      <w:pPr>
        <w:ind w:left="360"/>
        <w:rPr>
          <w:rFonts w:ascii="Times New Roman" w:hAnsi="Times New Roman"/>
          <w:sz w:val="24"/>
          <w:szCs w:val="24"/>
        </w:rPr>
      </w:pPr>
      <w:r>
        <w:rPr>
          <w:rFonts w:ascii="Times New Roman" w:hAnsi="Times New Roman"/>
          <w:sz w:val="24"/>
          <w:szCs w:val="24"/>
        </w:rPr>
        <w:t>These records are not confidential and t</w:t>
      </w:r>
      <w:r w:rsidRPr="00644586" w:rsidR="00B80E50">
        <w:rPr>
          <w:rFonts w:ascii="Times New Roman" w:hAnsi="Times New Roman"/>
          <w:sz w:val="24"/>
          <w:szCs w:val="24"/>
        </w:rPr>
        <w:t>here is no assurance of confidentiality. All registration applications filed with FMCSA become part of a public docket and are open to the public for inspection and review.</w:t>
      </w:r>
    </w:p>
    <w:p w:rsidR="002F0A90" w:rsidRPr="00644586" w:rsidP="00E9142F" w14:paraId="36CBC1C8" w14:textId="77777777">
      <w:pPr>
        <w:ind w:left="360"/>
        <w:rPr>
          <w:rFonts w:ascii="Times New Roman" w:hAnsi="Times New Roman"/>
          <w:sz w:val="24"/>
          <w:szCs w:val="24"/>
        </w:rPr>
      </w:pPr>
    </w:p>
    <w:p w:rsidR="00E9142F" w:rsidRPr="00644586" w:rsidP="00E9142F" w14:paraId="6DEA3A8A" w14:textId="69CC170D">
      <w:pPr>
        <w:ind w:left="360"/>
        <w:rPr>
          <w:rFonts w:ascii="Times New Roman" w:hAnsi="Times New Roman"/>
          <w:sz w:val="24"/>
          <w:szCs w:val="24"/>
        </w:rPr>
      </w:pPr>
      <w:r w:rsidRPr="00644586">
        <w:rPr>
          <w:rFonts w:ascii="Times New Roman" w:hAnsi="Times New Roman"/>
          <w:sz w:val="24"/>
          <w:szCs w:val="24"/>
        </w:rPr>
        <w:t>The personally identifiable information (PII) collected on Form MCSA-1 includes information from persons required to register with FMCSA as a sole proprietor/driver or owner of a motor carrier, intermodal equipment provider, freight forwarder, broker, or cargo tank facility. Although a business name qualifies as PII under OMB Circular M-07-16, it is not PII in the sense that Privacy Act protections apply to its public disclosure. The PII collected will include the name, address, email address, taxpayer employer identification number (EIN) or social security number (SSN), credit card number, and checking account number of these persons.</w:t>
      </w:r>
      <w:r>
        <w:rPr>
          <w:rFonts w:ascii="Times New Roman" w:hAnsi="Times New Roman"/>
          <w:sz w:val="24"/>
          <w:szCs w:val="24"/>
        </w:rPr>
        <w:t xml:space="preserve"> </w:t>
      </w:r>
      <w:r w:rsidRPr="00644586">
        <w:rPr>
          <w:rFonts w:ascii="Times New Roman" w:hAnsi="Times New Roman"/>
          <w:sz w:val="24"/>
          <w:szCs w:val="24"/>
        </w:rPr>
        <w:t>Confidentiality of the PII will be protected by reasonable security safeguards against loss or unauthorized access, destruction, usage, modification, or disclosure. These safeguards incorporate standards and practices required for Federal information systems under the Federal Information Security Management Act (FISMA) of 2002 (44 U.S.C. 3542) and are detailed in Federal Information Processing Standards (FIPS) Publication 200 entitled, “Minimum Security Requirements for Federal Information and Information Systems,” dated March 2006 and NIST Special Publication (SP) 800-53 Rev. 3 titled, “Recommended Security Controls for Federal Information Systems and Organizations,” da</w:t>
      </w:r>
      <w:r>
        <w:rPr>
          <w:rFonts w:ascii="Times New Roman" w:hAnsi="Times New Roman"/>
          <w:sz w:val="24"/>
          <w:szCs w:val="24"/>
        </w:rPr>
        <w:t>ted August 2009 as amended.</w:t>
      </w:r>
    </w:p>
    <w:p w:rsidR="00E9142F" w:rsidRPr="00644586" w:rsidP="00E9142F" w14:paraId="4DD4C308" w14:textId="77777777">
      <w:pPr>
        <w:ind w:left="360"/>
        <w:rPr>
          <w:rFonts w:ascii="Times New Roman" w:hAnsi="Times New Roman"/>
          <w:sz w:val="24"/>
          <w:szCs w:val="24"/>
        </w:rPr>
      </w:pPr>
    </w:p>
    <w:p w:rsidR="00E9142F" w:rsidP="00697D42" w14:paraId="764AF055" w14:textId="559D31E7">
      <w:pPr>
        <w:ind w:left="360"/>
        <w:rPr>
          <w:rFonts w:ascii="Times New Roman" w:hAnsi="Times New Roman"/>
          <w:sz w:val="24"/>
          <w:szCs w:val="24"/>
        </w:rPr>
      </w:pPr>
      <w:r w:rsidRPr="00644586">
        <w:rPr>
          <w:rFonts w:ascii="Times New Roman" w:hAnsi="Times New Roman"/>
          <w:sz w:val="24"/>
          <w:szCs w:val="24"/>
        </w:rPr>
        <w:t>FMCSA has a comprehensive information security and privacy program that contains management, operational, and technical safeguards appropriate for the protection of PII. These safeguards are designed to achieve the following objectives:</w:t>
      </w:r>
    </w:p>
    <w:p w:rsidR="00E9142F" w:rsidRPr="00644586" w:rsidP="00697D42" w14:paraId="33F2D255" w14:textId="77777777">
      <w:pPr>
        <w:pStyle w:val="ListParagraph"/>
        <w:numPr>
          <w:ilvl w:val="0"/>
          <w:numId w:val="36"/>
        </w:numPr>
        <w:tabs>
          <w:tab w:val="left" w:pos="-1440"/>
          <w:tab w:val="left" w:pos="-720"/>
        </w:tabs>
        <w:rPr>
          <w:rFonts w:ascii="Times New Roman" w:hAnsi="Times New Roman"/>
          <w:b/>
          <w:sz w:val="24"/>
          <w:szCs w:val="24"/>
        </w:rPr>
      </w:pPr>
      <w:r w:rsidRPr="00644586">
        <w:rPr>
          <w:rFonts w:ascii="Times New Roman" w:hAnsi="Times New Roman"/>
          <w:sz w:val="24"/>
          <w:szCs w:val="24"/>
        </w:rPr>
        <w:t>Ensure the security and confidentiality of PII.</w:t>
      </w:r>
    </w:p>
    <w:p w:rsidR="00E9142F" w:rsidRPr="00644586" w:rsidP="00697D42" w14:paraId="057BDEA0" w14:textId="77777777">
      <w:pPr>
        <w:pStyle w:val="ListParagraph"/>
        <w:numPr>
          <w:ilvl w:val="0"/>
          <w:numId w:val="35"/>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Protect against any reasonably anticipated threats or hazards to the security or integrity of PII.</w:t>
      </w:r>
    </w:p>
    <w:p w:rsidR="00E9142F" w:rsidRPr="00644586" w:rsidP="00697D42" w14:paraId="7C184822" w14:textId="77777777">
      <w:pPr>
        <w:pStyle w:val="ListParagraph"/>
        <w:numPr>
          <w:ilvl w:val="0"/>
          <w:numId w:val="35"/>
        </w:numPr>
        <w:tabs>
          <w:tab w:val="left" w:pos="-1440"/>
          <w:tab w:val="left" w:pos="-720"/>
        </w:tabs>
        <w:ind w:left="1080"/>
        <w:rPr>
          <w:rFonts w:ascii="Times New Roman" w:hAnsi="Times New Roman"/>
          <w:b/>
          <w:sz w:val="24"/>
          <w:szCs w:val="24"/>
        </w:rPr>
      </w:pPr>
      <w:r w:rsidRPr="00644586">
        <w:rPr>
          <w:rFonts w:ascii="Times New Roman" w:hAnsi="Times New Roman"/>
          <w:sz w:val="24"/>
          <w:szCs w:val="24"/>
        </w:rPr>
        <w:t>Protect against unauthorized access to or use of PII.</w:t>
      </w:r>
    </w:p>
    <w:p w:rsidR="00E9142F" w:rsidP="00697D42" w14:paraId="4A944067" w14:textId="77777777">
      <w:pPr>
        <w:ind w:left="360"/>
        <w:rPr>
          <w:rFonts w:ascii="Times New Roman" w:hAnsi="Times New Roman"/>
          <w:sz w:val="24"/>
          <w:szCs w:val="24"/>
        </w:rPr>
      </w:pPr>
    </w:p>
    <w:p w:rsidR="009B5BB1" w:rsidP="00697D42" w14:paraId="2AA1FB39" w14:textId="77777777">
      <w:pPr>
        <w:ind w:left="360"/>
        <w:rPr>
          <w:rFonts w:ascii="Times New Roman" w:hAnsi="Times New Roman"/>
          <w:sz w:val="24"/>
          <w:szCs w:val="24"/>
        </w:rPr>
      </w:pPr>
    </w:p>
    <w:p w:rsidR="009B5BB1" w:rsidP="00697D42" w14:paraId="72AC79FF" w14:textId="77777777">
      <w:pPr>
        <w:ind w:left="360"/>
        <w:rPr>
          <w:rFonts w:ascii="Times New Roman" w:hAnsi="Times New Roman"/>
          <w:sz w:val="24"/>
          <w:szCs w:val="24"/>
        </w:rPr>
      </w:pPr>
    </w:p>
    <w:p w:rsidR="009B5BB1" w:rsidP="00697D42" w14:paraId="38DCD346" w14:textId="77777777">
      <w:pPr>
        <w:ind w:left="360"/>
        <w:rPr>
          <w:rFonts w:ascii="Times New Roman" w:hAnsi="Times New Roman"/>
          <w:sz w:val="24"/>
          <w:szCs w:val="24"/>
        </w:rPr>
      </w:pPr>
    </w:p>
    <w:p w:rsidR="009B5BB1" w:rsidRPr="00644586" w:rsidP="00697D42" w14:paraId="0037B630" w14:textId="77777777">
      <w:pPr>
        <w:ind w:left="360"/>
        <w:rPr>
          <w:rFonts w:ascii="Times New Roman" w:hAnsi="Times New Roman"/>
          <w:sz w:val="24"/>
          <w:szCs w:val="24"/>
        </w:rPr>
      </w:pPr>
    </w:p>
    <w:p w:rsidR="00E9142F" w:rsidRPr="00644586" w:rsidP="00951254" w14:paraId="6B4C1E74" w14:textId="3CFF48A4">
      <w:pPr>
        <w:ind w:left="360"/>
        <w:rPr>
          <w:rFonts w:ascii="Times New Roman" w:hAnsi="Times New Roman"/>
          <w:sz w:val="24"/>
          <w:szCs w:val="24"/>
        </w:rPr>
      </w:pPr>
      <w:r w:rsidRPr="3E2FF4CE">
        <w:rPr>
          <w:rFonts w:ascii="Times New Roman" w:hAnsi="Times New Roman"/>
          <w:sz w:val="24"/>
          <w:szCs w:val="24"/>
        </w:rPr>
        <w:t xml:space="preserve">The collected PII will be protected to the extent allowed by the Freedom of Information Act (FOIA), 5 U.S.C. 552, as amended (see Attachment </w:t>
      </w:r>
      <w:r w:rsidRPr="3E2FF4CE" w:rsidR="00F74C60">
        <w:rPr>
          <w:rFonts w:ascii="Times New Roman" w:hAnsi="Times New Roman"/>
          <w:sz w:val="24"/>
          <w:szCs w:val="24"/>
        </w:rPr>
        <w:t>K</w:t>
      </w:r>
      <w:r w:rsidRPr="3E2FF4CE">
        <w:rPr>
          <w:rFonts w:ascii="Times New Roman" w:hAnsi="Times New Roman"/>
          <w:sz w:val="24"/>
          <w:szCs w:val="24"/>
        </w:rPr>
        <w:t xml:space="preserve">) and the Privacy Act of 1974 (Pub. L. 93-579, 88 Stat. 1896, enacted Dec. 31, 1974, 5 U.S.C. § 552a). The assurance of confidentiality is addressed in detail in the Privacy Impact Assessment (see Attachment </w:t>
      </w:r>
      <w:r w:rsidRPr="3E2FF4CE" w:rsidR="00F74C60">
        <w:rPr>
          <w:rFonts w:ascii="Times New Roman" w:hAnsi="Times New Roman"/>
          <w:sz w:val="24"/>
          <w:szCs w:val="24"/>
        </w:rPr>
        <w:t>L</w:t>
      </w:r>
      <w:r w:rsidRPr="3E2FF4CE">
        <w:rPr>
          <w:rFonts w:ascii="Times New Roman" w:hAnsi="Times New Roman"/>
          <w:sz w:val="24"/>
          <w:szCs w:val="24"/>
        </w:rPr>
        <w:t>) prepared for the initial URS rulemaking action.</w:t>
      </w:r>
    </w:p>
    <w:p w:rsidR="3E2FF4CE" w:rsidP="3E2FF4CE" w14:paraId="4B98811C" w14:textId="0E9EC2E4">
      <w:pPr>
        <w:ind w:left="360"/>
        <w:rPr>
          <w:rFonts w:ascii="Times New Roman" w:hAnsi="Times New Roman"/>
          <w:sz w:val="24"/>
          <w:szCs w:val="24"/>
        </w:rPr>
      </w:pPr>
    </w:p>
    <w:p w:rsidR="00E9142F" w:rsidRPr="00644586" w:rsidP="00E9142F" w14:paraId="4820C62B" w14:textId="77777777">
      <w:pPr>
        <w:numPr>
          <w:ilvl w:val="0"/>
          <w:numId w:val="18"/>
        </w:numPr>
        <w:rPr>
          <w:rFonts w:ascii="Times New Roman" w:hAnsi="Times New Roman"/>
          <w:sz w:val="24"/>
          <w:szCs w:val="24"/>
        </w:rPr>
      </w:pPr>
      <w:r w:rsidRPr="00644586">
        <w:rPr>
          <w:rFonts w:ascii="Times New Roman" w:hAnsi="Times New Roman"/>
          <w:b/>
          <w:bCs/>
          <w:sz w:val="24"/>
          <w:szCs w:val="24"/>
        </w:rPr>
        <w:t>JUSTIFICATION FOR COLLECTION OF SENSITIVE INFORMATION</w:t>
      </w:r>
    </w:p>
    <w:p w:rsidR="00E75F52" w:rsidP="00E9142F" w14:paraId="7A8D3BDF" w14:textId="77777777">
      <w:pPr>
        <w:ind w:left="360"/>
        <w:rPr>
          <w:rFonts w:ascii="Times New Roman" w:hAnsi="Times New Roman"/>
          <w:sz w:val="24"/>
          <w:szCs w:val="24"/>
        </w:rPr>
      </w:pPr>
    </w:p>
    <w:p w:rsidR="00E9142F" w:rsidP="00E9142F" w14:paraId="2C5F31E5" w14:textId="1E771624">
      <w:pPr>
        <w:ind w:left="360"/>
        <w:rPr>
          <w:rFonts w:ascii="Times New Roman" w:hAnsi="Times New Roman"/>
          <w:sz w:val="24"/>
          <w:szCs w:val="24"/>
        </w:rPr>
      </w:pPr>
      <w:r w:rsidRPr="00644586">
        <w:rPr>
          <w:rFonts w:ascii="Times New Roman" w:hAnsi="Times New Roman"/>
          <w:sz w:val="24"/>
          <w:szCs w:val="24"/>
        </w:rPr>
        <w:t>The purpose(s) for collecting PII from a sole proprietor/driver or owner of a motor carrier, intermodal equipment provider, freight forwarder, broker, or cargo tank facility is to track safety-related data in order to recognize trends and use this information for making policy and program changes.</w:t>
      </w:r>
      <w:r>
        <w:rPr>
          <w:rFonts w:ascii="Times New Roman" w:hAnsi="Times New Roman"/>
          <w:sz w:val="24"/>
          <w:szCs w:val="24"/>
        </w:rPr>
        <w:t xml:space="preserve"> </w:t>
      </w:r>
      <w:r w:rsidRPr="00644586">
        <w:rPr>
          <w:rFonts w:ascii="Times New Roman" w:hAnsi="Times New Roman"/>
          <w:sz w:val="24"/>
          <w:szCs w:val="24"/>
        </w:rPr>
        <w:t xml:space="preserve">The collection of PII is necessary to implement URS because it allows both Federal and State law enforcement agencies to positively identify specific records in FMCSA information systems. The justification for collection of sensitive information is addressed in detail in the Privacy Impact Assessment (see Attachment </w:t>
      </w:r>
      <w:r w:rsidR="00E31D1A">
        <w:rPr>
          <w:rFonts w:ascii="Times New Roman" w:hAnsi="Times New Roman"/>
          <w:sz w:val="24"/>
          <w:szCs w:val="24"/>
        </w:rPr>
        <w:t>L</w:t>
      </w:r>
      <w:r w:rsidRPr="00644586">
        <w:rPr>
          <w:rFonts w:ascii="Times New Roman" w:hAnsi="Times New Roman"/>
          <w:sz w:val="24"/>
          <w:szCs w:val="24"/>
        </w:rPr>
        <w:t>), prepared for the initial URS rulemaking action.</w:t>
      </w:r>
    </w:p>
    <w:p w:rsidR="001516D0" w:rsidP="00E9142F" w14:paraId="2F0796A6" w14:textId="77777777">
      <w:pPr>
        <w:ind w:left="360"/>
        <w:rPr>
          <w:rFonts w:ascii="Times New Roman" w:hAnsi="Times New Roman"/>
          <w:sz w:val="24"/>
          <w:szCs w:val="24"/>
        </w:rPr>
      </w:pPr>
    </w:p>
    <w:p w:rsidR="00E75F52" w:rsidP="00E9142F" w14:paraId="421A15C9" w14:textId="77777777">
      <w:pPr>
        <w:numPr>
          <w:ilvl w:val="0"/>
          <w:numId w:val="18"/>
        </w:numPr>
        <w:rPr>
          <w:rFonts w:ascii="Times New Roman" w:hAnsi="Times New Roman"/>
          <w:b/>
          <w:bCs/>
          <w:sz w:val="24"/>
          <w:szCs w:val="24"/>
        </w:rPr>
      </w:pPr>
      <w:r w:rsidRPr="00644586">
        <w:rPr>
          <w:rFonts w:ascii="Times New Roman" w:hAnsi="Times New Roman"/>
          <w:b/>
          <w:bCs/>
          <w:sz w:val="24"/>
          <w:szCs w:val="24"/>
        </w:rPr>
        <w:t>ESTIMATE OF BURDEN HOURS FOR INFORMATION REQUESTED</w:t>
      </w:r>
    </w:p>
    <w:p w:rsidR="00E9142F" w:rsidP="00E75F52" w14:paraId="25470191" w14:textId="7DC2A52B">
      <w:pPr>
        <w:rPr>
          <w:rFonts w:ascii="Times New Roman" w:hAnsi="Times New Roman"/>
          <w:b/>
          <w:bCs/>
          <w:sz w:val="24"/>
          <w:szCs w:val="24"/>
        </w:rPr>
      </w:pPr>
    </w:p>
    <w:p w:rsidR="00E9142F" w:rsidRPr="00644586" w:rsidP="00E9142F" w14:paraId="3013E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rPr>
      </w:pPr>
      <w:r w:rsidRPr="00644586">
        <w:rPr>
          <w:rFonts w:ascii="Times New Roman" w:hAnsi="Times New Roman"/>
          <w:b/>
          <w:smallCaps/>
          <w:sz w:val="24"/>
          <w:szCs w:val="24"/>
          <w:u w:val="single"/>
        </w:rPr>
        <w:t>Assumptions for Burden Estimates</w:t>
      </w:r>
    </w:p>
    <w:p w:rsidR="00E9142F" w:rsidRPr="00644586" w:rsidP="00E9142F" w14:paraId="067BB9C5" w14:textId="77777777">
      <w:pPr>
        <w:ind w:left="360"/>
        <w:rPr>
          <w:rFonts w:ascii="Times New Roman" w:hAnsi="Times New Roman"/>
          <w:sz w:val="24"/>
          <w:szCs w:val="24"/>
        </w:rPr>
      </w:pPr>
    </w:p>
    <w:p w:rsidR="00FD7ED7" w:rsidP="008556B3" w14:paraId="60AA32BE" w14:textId="56040ECF">
      <w:pPr>
        <w:ind w:left="360"/>
        <w:rPr>
          <w:rFonts w:ascii="Times New Roman" w:hAnsi="Times New Roman"/>
          <w:sz w:val="24"/>
          <w:szCs w:val="24"/>
        </w:rPr>
      </w:pPr>
      <w:r w:rsidRPr="00644586">
        <w:rPr>
          <w:rFonts w:ascii="Times New Roman" w:hAnsi="Times New Roman"/>
          <w:sz w:val="24"/>
          <w:szCs w:val="24"/>
        </w:rPr>
        <w:t xml:space="preserve">The MCSA-1 form will be filed when a carrier or other entity regulated by FMCSA first applies for a USDOT number. </w:t>
      </w:r>
      <w:r w:rsidR="00A52B96">
        <w:rPr>
          <w:rFonts w:ascii="Times New Roman" w:hAnsi="Times New Roman"/>
          <w:sz w:val="24"/>
          <w:szCs w:val="24"/>
        </w:rPr>
        <w:t>Table 1</w:t>
      </w:r>
      <w:r w:rsidRPr="00644586">
        <w:rPr>
          <w:rFonts w:ascii="Times New Roman" w:hAnsi="Times New Roman"/>
          <w:sz w:val="24"/>
          <w:szCs w:val="24"/>
        </w:rPr>
        <w:t xml:space="preserve"> presents the number of new entrants who applied using Form MCSA-1 during calendar years </w:t>
      </w:r>
      <w:r w:rsidR="0004271C">
        <w:rPr>
          <w:rFonts w:ascii="Times New Roman" w:hAnsi="Times New Roman"/>
          <w:sz w:val="24"/>
          <w:szCs w:val="24"/>
        </w:rPr>
        <w:t>20</w:t>
      </w:r>
      <w:r w:rsidR="00126C82">
        <w:rPr>
          <w:rFonts w:ascii="Times New Roman" w:hAnsi="Times New Roman"/>
          <w:sz w:val="24"/>
          <w:szCs w:val="24"/>
        </w:rPr>
        <w:t>22</w:t>
      </w:r>
      <w:r w:rsidR="0004271C">
        <w:rPr>
          <w:rFonts w:ascii="Times New Roman" w:hAnsi="Times New Roman"/>
          <w:sz w:val="24"/>
          <w:szCs w:val="24"/>
        </w:rPr>
        <w:t>, 202</w:t>
      </w:r>
      <w:r w:rsidR="00126C82">
        <w:rPr>
          <w:rFonts w:ascii="Times New Roman" w:hAnsi="Times New Roman"/>
          <w:sz w:val="24"/>
          <w:szCs w:val="24"/>
        </w:rPr>
        <w:t>3</w:t>
      </w:r>
      <w:r w:rsidR="0004271C">
        <w:rPr>
          <w:rFonts w:ascii="Times New Roman" w:hAnsi="Times New Roman"/>
          <w:sz w:val="24"/>
          <w:szCs w:val="24"/>
        </w:rPr>
        <w:t xml:space="preserve"> and 202</w:t>
      </w:r>
      <w:r w:rsidR="00126C82">
        <w:rPr>
          <w:rFonts w:ascii="Times New Roman" w:hAnsi="Times New Roman"/>
          <w:sz w:val="24"/>
          <w:szCs w:val="24"/>
        </w:rPr>
        <w:t>4</w:t>
      </w:r>
      <w:r w:rsidRPr="00644586">
        <w:rPr>
          <w:rFonts w:ascii="Times New Roman" w:hAnsi="Times New Roman"/>
          <w:sz w:val="24"/>
          <w:szCs w:val="24"/>
        </w:rPr>
        <w:t>.</w:t>
      </w:r>
    </w:p>
    <w:p w:rsidR="00FD7ED7" w:rsidP="008556B3" w14:paraId="769D13CE" w14:textId="77777777">
      <w:pPr>
        <w:ind w:left="360"/>
        <w:rPr>
          <w:rFonts w:ascii="Times New Roman" w:hAnsi="Times New Roman"/>
          <w:sz w:val="24"/>
          <w:szCs w:val="24"/>
        </w:rPr>
      </w:pPr>
    </w:p>
    <w:p w:rsidR="00E9142F" w:rsidP="00A77FC8" w14:paraId="644C14DA" w14:textId="72AD94EF">
      <w:pPr>
        <w:ind w:left="360"/>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1</w:t>
      </w:r>
      <w:r w:rsidRPr="00644586">
        <w:rPr>
          <w:rFonts w:ascii="Times New Roman" w:hAnsi="Times New Roman"/>
          <w:b/>
          <w:sz w:val="24"/>
          <w:szCs w:val="24"/>
        </w:rPr>
        <w:fldChar w:fldCharType="end"/>
      </w:r>
      <w:r w:rsidRPr="00644586">
        <w:rPr>
          <w:rFonts w:ascii="Times New Roman" w:hAnsi="Times New Roman"/>
          <w:b/>
          <w:sz w:val="24"/>
          <w:szCs w:val="24"/>
        </w:rPr>
        <w:t>. Number of new entrant applicants for calendar years 20</w:t>
      </w:r>
      <w:r w:rsidR="00B00DB2">
        <w:rPr>
          <w:rFonts w:ascii="Times New Roman" w:hAnsi="Times New Roman"/>
          <w:b/>
          <w:sz w:val="24"/>
          <w:szCs w:val="24"/>
        </w:rPr>
        <w:t>22</w:t>
      </w:r>
      <w:r w:rsidR="00676A74">
        <w:rPr>
          <w:rFonts w:ascii="Times New Roman" w:hAnsi="Times New Roman"/>
          <w:b/>
          <w:sz w:val="24"/>
          <w:szCs w:val="24"/>
        </w:rPr>
        <w:t>-202</w:t>
      </w:r>
      <w:r w:rsidR="00B00DB2">
        <w:rPr>
          <w:rFonts w:ascii="Times New Roman" w:hAnsi="Times New Roman"/>
          <w:b/>
          <w:sz w:val="24"/>
          <w:szCs w:val="24"/>
        </w:rPr>
        <w:t>4</w:t>
      </w:r>
    </w:p>
    <w:p w:rsidR="00A77FC8" w:rsidRPr="00644586" w:rsidP="008556B3" w14:paraId="1EA7AA7C" w14:textId="77777777">
      <w:pPr>
        <w:ind w:left="360"/>
        <w:rPr>
          <w:rFonts w:ascii="Times New Roman" w:hAnsi="Times New Roman"/>
          <w:b/>
          <w:sz w:val="24"/>
          <w:szCs w:val="24"/>
        </w:rPr>
      </w:pPr>
    </w:p>
    <w:tbl>
      <w:tblPr>
        <w:tblW w:w="4608" w:type="dxa"/>
        <w:jc w:val="center"/>
        <w:tblLook w:val="04A0"/>
      </w:tblPr>
      <w:tblGrid>
        <w:gridCol w:w="1980"/>
        <w:gridCol w:w="2628"/>
      </w:tblGrid>
      <w:tr w14:paraId="6688932F" w14:textId="77777777" w:rsidTr="00A77FC8">
        <w:tblPrEx>
          <w:tblW w:w="4608" w:type="dxa"/>
          <w:jc w:val="center"/>
          <w:tblLook w:val="04A0"/>
        </w:tblPrEx>
        <w:trPr>
          <w:trHeight w:val="610"/>
          <w:jc w:val="center"/>
        </w:trPr>
        <w:tc>
          <w:tcPr>
            <w:tcW w:w="198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D729D6" w:rsidRPr="00D729D6" w:rsidP="00D729D6" w14:paraId="5A6C04D7" w14:textId="77777777">
            <w:pPr>
              <w:widowControl/>
              <w:autoSpaceDE/>
              <w:autoSpaceDN/>
              <w:adjustRightInd/>
              <w:jc w:val="center"/>
              <w:rPr>
                <w:rFonts w:ascii="Times New Roman" w:hAnsi="Times New Roman"/>
                <w:b/>
                <w:bCs/>
                <w:color w:val="000000"/>
                <w:sz w:val="24"/>
                <w:szCs w:val="24"/>
              </w:rPr>
            </w:pPr>
            <w:r w:rsidRPr="00D729D6">
              <w:rPr>
                <w:rFonts w:ascii="Times New Roman" w:hAnsi="Times New Roman"/>
                <w:b/>
                <w:bCs/>
                <w:color w:val="000000"/>
                <w:sz w:val="24"/>
                <w:szCs w:val="24"/>
              </w:rPr>
              <w:t>Calendar Year</w:t>
            </w:r>
          </w:p>
        </w:tc>
        <w:tc>
          <w:tcPr>
            <w:tcW w:w="2628" w:type="dxa"/>
            <w:tcBorders>
              <w:top w:val="single" w:sz="8" w:space="0" w:color="auto"/>
              <w:left w:val="nil"/>
              <w:bottom w:val="single" w:sz="8" w:space="0" w:color="auto"/>
              <w:right w:val="single" w:sz="8" w:space="0" w:color="auto"/>
            </w:tcBorders>
            <w:shd w:val="clear" w:color="000000" w:fill="F2F2F2"/>
            <w:vAlign w:val="center"/>
            <w:hideMark/>
          </w:tcPr>
          <w:p w:rsidR="00D729D6" w:rsidRPr="00D729D6" w:rsidP="00D729D6" w14:paraId="7D02912E" w14:textId="77777777">
            <w:pPr>
              <w:widowControl/>
              <w:autoSpaceDE/>
              <w:autoSpaceDN/>
              <w:adjustRightInd/>
              <w:jc w:val="center"/>
              <w:rPr>
                <w:rFonts w:ascii="Times New Roman" w:hAnsi="Times New Roman"/>
                <w:b/>
                <w:bCs/>
                <w:color w:val="000000"/>
                <w:sz w:val="24"/>
                <w:szCs w:val="24"/>
              </w:rPr>
            </w:pPr>
            <w:r w:rsidRPr="00D729D6">
              <w:rPr>
                <w:rFonts w:ascii="Times New Roman" w:hAnsi="Times New Roman"/>
                <w:b/>
                <w:bCs/>
                <w:color w:val="000000"/>
                <w:sz w:val="24"/>
                <w:szCs w:val="24"/>
              </w:rPr>
              <w:t>New Entrants Submitting Form MCSA-1</w:t>
            </w:r>
          </w:p>
        </w:tc>
      </w:tr>
      <w:tr w14:paraId="7CC6389D" w14:textId="77777777" w:rsidTr="00A77FC8">
        <w:tblPrEx>
          <w:tblW w:w="4608" w:type="dxa"/>
          <w:jc w:val="center"/>
          <w:tblLook w:val="04A0"/>
        </w:tblPrEx>
        <w:trPr>
          <w:trHeight w:val="320"/>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232FC7" w:rsidRPr="007622C2" w:rsidP="00232FC7" w14:paraId="20836D7C" w14:textId="2F6F52E9">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2022</w:t>
            </w:r>
          </w:p>
        </w:tc>
        <w:tc>
          <w:tcPr>
            <w:tcW w:w="2628" w:type="dxa"/>
            <w:tcBorders>
              <w:top w:val="nil"/>
              <w:left w:val="nil"/>
              <w:bottom w:val="single" w:sz="8" w:space="0" w:color="auto"/>
              <w:right w:val="single" w:sz="8" w:space="0" w:color="auto"/>
            </w:tcBorders>
            <w:shd w:val="clear" w:color="auto" w:fill="auto"/>
            <w:noWrap/>
            <w:vAlign w:val="center"/>
            <w:hideMark/>
          </w:tcPr>
          <w:p w:rsidR="00232FC7" w:rsidRPr="007622C2" w:rsidP="00232FC7" w14:paraId="6D0BE7BD" w14:textId="5CCC90F4">
            <w:pPr>
              <w:widowControl/>
              <w:autoSpaceDE/>
              <w:autoSpaceDN/>
              <w:adjustRightInd/>
              <w:jc w:val="right"/>
              <w:rPr>
                <w:rFonts w:ascii="Times New Roman" w:hAnsi="Times New Roman"/>
                <w:color w:val="000000"/>
                <w:sz w:val="24"/>
                <w:szCs w:val="24"/>
              </w:rPr>
            </w:pPr>
            <w:r w:rsidRPr="005C2DFF">
              <w:rPr>
                <w:rFonts w:ascii="Times New Roman" w:hAnsi="Times New Roman"/>
                <w:color w:val="000000"/>
                <w:sz w:val="24"/>
                <w:szCs w:val="24"/>
              </w:rPr>
              <w:t>214,053</w:t>
            </w:r>
          </w:p>
        </w:tc>
      </w:tr>
      <w:tr w14:paraId="06F3747D" w14:textId="77777777" w:rsidTr="00A77FC8">
        <w:tblPrEx>
          <w:tblW w:w="4608" w:type="dxa"/>
          <w:jc w:val="center"/>
          <w:tblLook w:val="04A0"/>
        </w:tblPrEx>
        <w:trPr>
          <w:trHeight w:val="320"/>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232FC7" w:rsidRPr="007622C2" w:rsidP="00232FC7" w14:paraId="5B76E215" w14:textId="2EE1D874">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2023</w:t>
            </w:r>
          </w:p>
        </w:tc>
        <w:tc>
          <w:tcPr>
            <w:tcW w:w="2628" w:type="dxa"/>
            <w:tcBorders>
              <w:top w:val="nil"/>
              <w:left w:val="nil"/>
              <w:bottom w:val="single" w:sz="8" w:space="0" w:color="auto"/>
              <w:right w:val="single" w:sz="8" w:space="0" w:color="auto"/>
            </w:tcBorders>
            <w:shd w:val="clear" w:color="auto" w:fill="auto"/>
            <w:noWrap/>
            <w:vAlign w:val="center"/>
            <w:hideMark/>
          </w:tcPr>
          <w:p w:rsidR="00232FC7" w:rsidRPr="007622C2" w:rsidP="00232FC7" w14:paraId="7ACC33FD" w14:textId="29399EA0">
            <w:pPr>
              <w:widowControl/>
              <w:autoSpaceDE/>
              <w:autoSpaceDN/>
              <w:adjustRightInd/>
              <w:jc w:val="right"/>
              <w:rPr>
                <w:rFonts w:ascii="Times New Roman" w:hAnsi="Times New Roman"/>
                <w:color w:val="000000"/>
                <w:sz w:val="24"/>
                <w:szCs w:val="24"/>
              </w:rPr>
            </w:pPr>
            <w:r w:rsidRPr="005C2DFF">
              <w:rPr>
                <w:rFonts w:ascii="Times New Roman" w:hAnsi="Times New Roman"/>
                <w:color w:val="000000"/>
                <w:sz w:val="24"/>
                <w:szCs w:val="24"/>
              </w:rPr>
              <w:t>169,238</w:t>
            </w:r>
          </w:p>
        </w:tc>
      </w:tr>
      <w:tr w14:paraId="549E324A" w14:textId="77777777" w:rsidTr="00A77FC8">
        <w:tblPrEx>
          <w:tblW w:w="4608" w:type="dxa"/>
          <w:jc w:val="center"/>
          <w:tblLook w:val="04A0"/>
        </w:tblPrEx>
        <w:trPr>
          <w:trHeight w:val="320"/>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232FC7" w:rsidRPr="007622C2" w:rsidP="00232FC7" w14:paraId="44C89163" w14:textId="22873AB7">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2024</w:t>
            </w:r>
          </w:p>
        </w:tc>
        <w:tc>
          <w:tcPr>
            <w:tcW w:w="2628" w:type="dxa"/>
            <w:tcBorders>
              <w:top w:val="nil"/>
              <w:left w:val="nil"/>
              <w:bottom w:val="single" w:sz="8" w:space="0" w:color="auto"/>
              <w:right w:val="single" w:sz="8" w:space="0" w:color="auto"/>
            </w:tcBorders>
            <w:shd w:val="clear" w:color="auto" w:fill="auto"/>
            <w:noWrap/>
            <w:vAlign w:val="center"/>
            <w:hideMark/>
          </w:tcPr>
          <w:p w:rsidR="00232FC7" w:rsidRPr="007622C2" w:rsidP="00232FC7" w14:paraId="5D7E62B9" w14:textId="38E4491C">
            <w:pPr>
              <w:widowControl/>
              <w:autoSpaceDE/>
              <w:autoSpaceDN/>
              <w:adjustRightInd/>
              <w:jc w:val="right"/>
              <w:rPr>
                <w:rFonts w:ascii="Times New Roman" w:hAnsi="Times New Roman"/>
                <w:color w:val="000000"/>
                <w:sz w:val="24"/>
                <w:szCs w:val="24"/>
              </w:rPr>
            </w:pPr>
            <w:r w:rsidRPr="005C2DFF">
              <w:rPr>
                <w:rFonts w:ascii="Times New Roman" w:hAnsi="Times New Roman"/>
                <w:color w:val="000000"/>
                <w:sz w:val="24"/>
                <w:szCs w:val="24"/>
              </w:rPr>
              <w:t>166,491</w:t>
            </w:r>
          </w:p>
        </w:tc>
      </w:tr>
      <w:tr w14:paraId="28376B08" w14:textId="77777777" w:rsidTr="00A77FC8">
        <w:tblPrEx>
          <w:tblW w:w="4608" w:type="dxa"/>
          <w:jc w:val="center"/>
          <w:tblLook w:val="04A0"/>
        </w:tblPrEx>
        <w:trPr>
          <w:trHeight w:val="310"/>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232FC7" w:rsidRPr="007622C2" w:rsidP="00232FC7" w14:paraId="53FC2DFA" w14:textId="28D58DB7">
            <w:pPr>
              <w:widowControl/>
              <w:autoSpaceDE/>
              <w:autoSpaceDN/>
              <w:adjustRightInd/>
              <w:jc w:val="right"/>
              <w:rPr>
                <w:rFonts w:ascii="Times New Roman" w:hAnsi="Times New Roman"/>
                <w:b/>
                <w:bCs/>
                <w:color w:val="000000"/>
                <w:sz w:val="24"/>
                <w:szCs w:val="24"/>
              </w:rPr>
            </w:pPr>
            <w:r w:rsidRPr="005C2DFF">
              <w:rPr>
                <w:rFonts w:ascii="Times New Roman" w:hAnsi="Times New Roman"/>
                <w:b/>
                <w:bCs/>
                <w:color w:val="000000"/>
                <w:sz w:val="24"/>
                <w:szCs w:val="24"/>
              </w:rPr>
              <w:t>Total</w:t>
            </w:r>
          </w:p>
        </w:tc>
        <w:tc>
          <w:tcPr>
            <w:tcW w:w="2628" w:type="dxa"/>
            <w:tcBorders>
              <w:top w:val="nil"/>
              <w:left w:val="nil"/>
              <w:bottom w:val="single" w:sz="8" w:space="0" w:color="auto"/>
              <w:right w:val="single" w:sz="8" w:space="0" w:color="auto"/>
            </w:tcBorders>
            <w:shd w:val="clear" w:color="auto" w:fill="auto"/>
            <w:noWrap/>
            <w:vAlign w:val="center"/>
            <w:hideMark/>
          </w:tcPr>
          <w:p w:rsidR="00232FC7" w:rsidRPr="007622C2" w:rsidP="00232FC7" w14:paraId="0C7CBBA5" w14:textId="23AA7774">
            <w:pPr>
              <w:widowControl/>
              <w:autoSpaceDE/>
              <w:autoSpaceDN/>
              <w:adjustRightInd/>
              <w:jc w:val="right"/>
              <w:rPr>
                <w:rFonts w:ascii="Times New Roman" w:hAnsi="Times New Roman"/>
                <w:b/>
                <w:bCs/>
                <w:color w:val="000000"/>
                <w:sz w:val="24"/>
                <w:szCs w:val="24"/>
              </w:rPr>
            </w:pPr>
            <w:r w:rsidRPr="005C2DFF">
              <w:rPr>
                <w:rFonts w:ascii="Times New Roman" w:hAnsi="Times New Roman"/>
                <w:b/>
                <w:bCs/>
                <w:color w:val="000000"/>
                <w:sz w:val="24"/>
                <w:szCs w:val="24"/>
              </w:rPr>
              <w:t>549,782</w:t>
            </w:r>
          </w:p>
        </w:tc>
      </w:tr>
      <w:tr w14:paraId="12C7B93C" w14:textId="77777777" w:rsidTr="00A77FC8">
        <w:tblPrEx>
          <w:tblW w:w="4608" w:type="dxa"/>
          <w:jc w:val="center"/>
          <w:tblLook w:val="04A0"/>
        </w:tblPrEx>
        <w:trPr>
          <w:trHeight w:val="320"/>
          <w:jc w:val="center"/>
        </w:trPr>
        <w:tc>
          <w:tcPr>
            <w:tcW w:w="1980" w:type="dxa"/>
            <w:tcBorders>
              <w:top w:val="nil"/>
              <w:left w:val="single" w:sz="8" w:space="0" w:color="auto"/>
              <w:bottom w:val="single" w:sz="8" w:space="0" w:color="auto"/>
              <w:right w:val="single" w:sz="8" w:space="0" w:color="auto"/>
            </w:tcBorders>
            <w:shd w:val="clear" w:color="auto" w:fill="auto"/>
            <w:noWrap/>
            <w:vAlign w:val="center"/>
            <w:hideMark/>
          </w:tcPr>
          <w:p w:rsidR="00232FC7" w:rsidRPr="007622C2" w:rsidP="00232FC7" w14:paraId="7111CD52" w14:textId="5DB56C0A">
            <w:pPr>
              <w:widowControl/>
              <w:autoSpaceDE/>
              <w:autoSpaceDN/>
              <w:adjustRightInd/>
              <w:jc w:val="right"/>
              <w:rPr>
                <w:rFonts w:ascii="Times New Roman" w:hAnsi="Times New Roman"/>
                <w:i/>
                <w:iCs/>
                <w:color w:val="000000"/>
                <w:sz w:val="24"/>
                <w:szCs w:val="24"/>
              </w:rPr>
            </w:pPr>
            <w:r w:rsidRPr="005C2DFF">
              <w:rPr>
                <w:rFonts w:ascii="Times New Roman" w:hAnsi="Times New Roman"/>
                <w:i/>
                <w:iCs/>
                <w:color w:val="000000"/>
                <w:sz w:val="24"/>
                <w:szCs w:val="24"/>
              </w:rPr>
              <w:t>Annual Average</w:t>
            </w:r>
          </w:p>
        </w:tc>
        <w:tc>
          <w:tcPr>
            <w:tcW w:w="2628" w:type="dxa"/>
            <w:tcBorders>
              <w:top w:val="nil"/>
              <w:left w:val="nil"/>
              <w:bottom w:val="single" w:sz="8" w:space="0" w:color="auto"/>
              <w:right w:val="single" w:sz="8" w:space="0" w:color="auto"/>
            </w:tcBorders>
            <w:shd w:val="clear" w:color="auto" w:fill="auto"/>
            <w:noWrap/>
            <w:vAlign w:val="center"/>
            <w:hideMark/>
          </w:tcPr>
          <w:p w:rsidR="00232FC7" w:rsidRPr="007622C2" w:rsidP="00232FC7" w14:paraId="52FEC490" w14:textId="13FE9FBD">
            <w:pPr>
              <w:widowControl/>
              <w:autoSpaceDE/>
              <w:autoSpaceDN/>
              <w:adjustRightInd/>
              <w:jc w:val="right"/>
              <w:rPr>
                <w:rFonts w:ascii="Times New Roman" w:hAnsi="Times New Roman"/>
                <w:i/>
                <w:iCs/>
                <w:color w:val="000000"/>
                <w:sz w:val="24"/>
                <w:szCs w:val="24"/>
              </w:rPr>
            </w:pPr>
            <w:r w:rsidRPr="005C2DFF">
              <w:rPr>
                <w:rFonts w:ascii="Times New Roman" w:hAnsi="Times New Roman"/>
                <w:i/>
                <w:iCs/>
                <w:color w:val="000000"/>
                <w:sz w:val="24"/>
                <w:szCs w:val="24"/>
              </w:rPr>
              <w:t>183,261</w:t>
            </w:r>
          </w:p>
        </w:tc>
      </w:tr>
    </w:tbl>
    <w:p w:rsidR="00E9142F" w:rsidRPr="00644586" w:rsidP="00A77FC8" w14:paraId="5B0184B0" w14:textId="77777777">
      <w:pPr>
        <w:tabs>
          <w:tab w:val="left" w:pos="1800"/>
        </w:tabs>
        <w:rPr>
          <w:rFonts w:ascii="Times New Roman" w:hAnsi="Times New Roman"/>
          <w:sz w:val="24"/>
          <w:szCs w:val="24"/>
        </w:rPr>
      </w:pPr>
    </w:p>
    <w:p w:rsidR="00E9142F" w:rsidRPr="00644586" w:rsidP="00E9142F" w14:paraId="644C39C3" w14:textId="08378C0A">
      <w:pPr>
        <w:tabs>
          <w:tab w:val="left" w:pos="1800"/>
        </w:tabs>
        <w:ind w:left="360"/>
        <w:rPr>
          <w:rFonts w:ascii="Times New Roman" w:hAnsi="Times New Roman"/>
          <w:sz w:val="24"/>
          <w:szCs w:val="24"/>
        </w:rPr>
      </w:pPr>
      <w:r w:rsidRPr="00644586">
        <w:rPr>
          <w:rFonts w:ascii="Times New Roman" w:hAnsi="Times New Roman"/>
          <w:sz w:val="24"/>
          <w:szCs w:val="24"/>
        </w:rPr>
        <w:t xml:space="preserve">Source: FMCSA, Office of Registration and Safety Information, Vetting Tracker (n.d.); accessed </w:t>
      </w:r>
      <w:r w:rsidR="00E77758">
        <w:rPr>
          <w:rFonts w:ascii="Times New Roman" w:hAnsi="Times New Roman"/>
          <w:sz w:val="24"/>
          <w:szCs w:val="24"/>
        </w:rPr>
        <w:t>June 2023</w:t>
      </w:r>
      <w:r w:rsidRPr="00644586">
        <w:rPr>
          <w:rFonts w:ascii="Times New Roman" w:hAnsi="Times New Roman"/>
          <w:sz w:val="24"/>
          <w:szCs w:val="24"/>
        </w:rPr>
        <w:t>.</w:t>
      </w:r>
    </w:p>
    <w:p w:rsidR="00E9142F" w:rsidRPr="00644586" w:rsidP="00E9142F" w14:paraId="5B50E845" w14:textId="77777777">
      <w:pPr>
        <w:ind w:left="360"/>
        <w:rPr>
          <w:rFonts w:ascii="Times New Roman" w:hAnsi="Times New Roman"/>
          <w:b/>
          <w:sz w:val="24"/>
          <w:szCs w:val="24"/>
        </w:rPr>
      </w:pPr>
    </w:p>
    <w:p w:rsidR="00E9142F" w:rsidRPr="00644586" w:rsidP="00E9142F" w14:paraId="49EB97A0" w14:textId="52BCE01F">
      <w:pPr>
        <w:ind w:left="360"/>
        <w:rPr>
          <w:rFonts w:ascii="Times New Roman" w:hAnsi="Times New Roman"/>
          <w:b/>
          <w:sz w:val="24"/>
          <w:szCs w:val="24"/>
        </w:rPr>
      </w:pPr>
      <w:bookmarkStart w:id="4" w:name="_Hlk117076054"/>
      <w:r w:rsidRPr="00644586">
        <w:rPr>
          <w:rFonts w:ascii="Times New Roman" w:hAnsi="Times New Roman"/>
          <w:b/>
          <w:sz w:val="24"/>
          <w:szCs w:val="24"/>
        </w:rPr>
        <w:t xml:space="preserve">The total estimated number of respondents is </w:t>
      </w:r>
      <w:r w:rsidR="00E77758">
        <w:rPr>
          <w:rFonts w:ascii="Times New Roman" w:hAnsi="Times New Roman"/>
          <w:b/>
          <w:sz w:val="24"/>
          <w:szCs w:val="24"/>
        </w:rPr>
        <w:t>549,782</w:t>
      </w:r>
      <w:r w:rsidRPr="00644586">
        <w:rPr>
          <w:rFonts w:ascii="Times New Roman" w:hAnsi="Times New Roman"/>
          <w:sz w:val="24"/>
          <w:szCs w:val="24"/>
        </w:rPr>
        <w:t xml:space="preserve"> </w:t>
      </w:r>
      <w:bookmarkEnd w:id="4"/>
      <w:r w:rsidRPr="00644586">
        <w:rPr>
          <w:rFonts w:ascii="Times New Roman" w:hAnsi="Times New Roman"/>
          <w:sz w:val="24"/>
          <w:szCs w:val="24"/>
        </w:rPr>
        <w:t>[</w:t>
      </w:r>
      <w:r w:rsidR="00100D7C">
        <w:rPr>
          <w:rFonts w:ascii="Times New Roman" w:hAnsi="Times New Roman"/>
          <w:sz w:val="24"/>
          <w:szCs w:val="24"/>
        </w:rPr>
        <w:t>214,053</w:t>
      </w:r>
      <w:r w:rsidR="00050727">
        <w:rPr>
          <w:rFonts w:ascii="Times New Roman" w:hAnsi="Times New Roman"/>
          <w:sz w:val="24"/>
          <w:szCs w:val="24"/>
        </w:rPr>
        <w:t xml:space="preserve"> </w:t>
      </w:r>
      <w:r w:rsidRPr="00644586">
        <w:rPr>
          <w:rFonts w:ascii="Times New Roman" w:hAnsi="Times New Roman"/>
          <w:sz w:val="24"/>
          <w:szCs w:val="24"/>
        </w:rPr>
        <w:t>respondents in 20</w:t>
      </w:r>
      <w:r w:rsidR="00100D7C">
        <w:rPr>
          <w:rFonts w:ascii="Times New Roman" w:hAnsi="Times New Roman"/>
          <w:sz w:val="24"/>
          <w:szCs w:val="24"/>
        </w:rPr>
        <w:t>22</w:t>
      </w:r>
      <w:r w:rsidRPr="00644586">
        <w:rPr>
          <w:rFonts w:ascii="Times New Roman" w:hAnsi="Times New Roman"/>
          <w:sz w:val="24"/>
          <w:szCs w:val="24"/>
        </w:rPr>
        <w:t xml:space="preserve"> + </w:t>
      </w:r>
      <w:r w:rsidR="00100D7C">
        <w:rPr>
          <w:rFonts w:ascii="Times New Roman" w:hAnsi="Times New Roman"/>
          <w:sz w:val="24"/>
          <w:szCs w:val="24"/>
        </w:rPr>
        <w:t>169,238</w:t>
      </w:r>
      <w:r w:rsidR="00050727">
        <w:rPr>
          <w:rFonts w:ascii="Times New Roman" w:hAnsi="Times New Roman"/>
          <w:sz w:val="24"/>
          <w:szCs w:val="24"/>
        </w:rPr>
        <w:t xml:space="preserve"> </w:t>
      </w:r>
      <w:r w:rsidRPr="00644586">
        <w:rPr>
          <w:rFonts w:ascii="Times New Roman" w:hAnsi="Times New Roman"/>
          <w:sz w:val="24"/>
          <w:szCs w:val="24"/>
        </w:rPr>
        <w:t>respondents in 20</w:t>
      </w:r>
      <w:r w:rsidR="00676A74">
        <w:rPr>
          <w:rFonts w:ascii="Times New Roman" w:hAnsi="Times New Roman"/>
          <w:sz w:val="24"/>
          <w:szCs w:val="24"/>
        </w:rPr>
        <w:t>2</w:t>
      </w:r>
      <w:r w:rsidR="00313672">
        <w:rPr>
          <w:rFonts w:ascii="Times New Roman" w:hAnsi="Times New Roman"/>
          <w:sz w:val="24"/>
          <w:szCs w:val="24"/>
        </w:rPr>
        <w:t>3</w:t>
      </w:r>
      <w:r w:rsidRPr="00644586">
        <w:rPr>
          <w:rFonts w:ascii="Times New Roman" w:hAnsi="Times New Roman"/>
          <w:sz w:val="24"/>
          <w:szCs w:val="24"/>
        </w:rPr>
        <w:t xml:space="preserve"> + </w:t>
      </w:r>
      <w:r w:rsidR="00313672">
        <w:rPr>
          <w:rFonts w:ascii="Times New Roman" w:hAnsi="Times New Roman"/>
          <w:sz w:val="24"/>
          <w:szCs w:val="24"/>
        </w:rPr>
        <w:t>166,491</w:t>
      </w:r>
      <w:r w:rsidR="00050727">
        <w:rPr>
          <w:rFonts w:ascii="Times New Roman" w:hAnsi="Times New Roman"/>
          <w:sz w:val="24"/>
          <w:szCs w:val="24"/>
        </w:rPr>
        <w:t xml:space="preserve"> </w:t>
      </w:r>
      <w:r w:rsidRPr="00644586">
        <w:rPr>
          <w:rFonts w:ascii="Times New Roman" w:hAnsi="Times New Roman"/>
          <w:sz w:val="24"/>
          <w:szCs w:val="24"/>
        </w:rPr>
        <w:t>respondents in 20</w:t>
      </w:r>
      <w:r w:rsidR="00676A74">
        <w:rPr>
          <w:rFonts w:ascii="Times New Roman" w:hAnsi="Times New Roman"/>
          <w:sz w:val="24"/>
          <w:szCs w:val="24"/>
        </w:rPr>
        <w:t>2</w:t>
      </w:r>
      <w:r w:rsidR="00313672">
        <w:rPr>
          <w:rFonts w:ascii="Times New Roman" w:hAnsi="Times New Roman"/>
          <w:sz w:val="24"/>
          <w:szCs w:val="24"/>
        </w:rPr>
        <w:t>4</w:t>
      </w:r>
      <w:r w:rsidRPr="00644586">
        <w:rPr>
          <w:rFonts w:ascii="Times New Roman" w:hAnsi="Times New Roman"/>
          <w:sz w:val="24"/>
          <w:szCs w:val="24"/>
        </w:rPr>
        <w:t>].</w:t>
      </w:r>
    </w:p>
    <w:p w:rsidR="00E9142F" w:rsidRPr="00644586" w:rsidP="00E9142F" w14:paraId="6E24B8ED" w14:textId="77777777">
      <w:pPr>
        <w:ind w:left="360"/>
        <w:rPr>
          <w:rFonts w:ascii="Times New Roman" w:hAnsi="Times New Roman"/>
          <w:b/>
          <w:sz w:val="24"/>
          <w:szCs w:val="24"/>
        </w:rPr>
      </w:pPr>
    </w:p>
    <w:p w:rsidR="00E9142F" w:rsidP="00E9142F" w14:paraId="11D75A35" w14:textId="70B38030">
      <w:pPr>
        <w:ind w:left="360"/>
        <w:rPr>
          <w:rFonts w:ascii="Times New Roman" w:hAnsi="Times New Roman"/>
          <w:sz w:val="24"/>
          <w:szCs w:val="24"/>
        </w:rPr>
      </w:pPr>
      <w:r w:rsidRPr="00644586">
        <w:rPr>
          <w:rFonts w:ascii="Times New Roman" w:hAnsi="Times New Roman"/>
          <w:b/>
          <w:sz w:val="24"/>
          <w:szCs w:val="24"/>
        </w:rPr>
        <w:t xml:space="preserve">The </w:t>
      </w:r>
      <w:r w:rsidR="00BB747E">
        <w:rPr>
          <w:rFonts w:ascii="Times New Roman" w:hAnsi="Times New Roman"/>
          <w:b/>
          <w:sz w:val="24"/>
          <w:szCs w:val="24"/>
        </w:rPr>
        <w:t xml:space="preserve">average </w:t>
      </w:r>
      <w:r w:rsidRPr="00644586">
        <w:rPr>
          <w:rFonts w:ascii="Times New Roman" w:hAnsi="Times New Roman"/>
          <w:b/>
          <w:sz w:val="24"/>
          <w:szCs w:val="24"/>
        </w:rPr>
        <w:t xml:space="preserve">annual estimated number of respondents is </w:t>
      </w:r>
      <w:r w:rsidR="00313672">
        <w:rPr>
          <w:rFonts w:ascii="Times New Roman" w:hAnsi="Times New Roman"/>
          <w:b/>
          <w:sz w:val="24"/>
          <w:szCs w:val="24"/>
        </w:rPr>
        <w:t>183,261</w:t>
      </w:r>
      <w:r w:rsidR="00050727">
        <w:rPr>
          <w:rFonts w:ascii="Times New Roman" w:hAnsi="Times New Roman"/>
          <w:b/>
          <w:sz w:val="24"/>
          <w:szCs w:val="24"/>
        </w:rPr>
        <w:t xml:space="preserve"> </w:t>
      </w:r>
      <w:r w:rsidRPr="00644586">
        <w:rPr>
          <w:rFonts w:ascii="Times New Roman" w:hAnsi="Times New Roman"/>
          <w:sz w:val="24"/>
          <w:szCs w:val="24"/>
        </w:rPr>
        <w:t>[</w:t>
      </w:r>
      <w:r w:rsidR="004F0671">
        <w:rPr>
          <w:rFonts w:ascii="Times New Roman" w:hAnsi="Times New Roman"/>
          <w:sz w:val="24"/>
          <w:szCs w:val="24"/>
        </w:rPr>
        <w:t>549,782</w:t>
      </w:r>
      <w:r w:rsidR="00050727">
        <w:rPr>
          <w:rFonts w:ascii="Times New Roman" w:hAnsi="Times New Roman"/>
          <w:sz w:val="24"/>
          <w:szCs w:val="24"/>
        </w:rPr>
        <w:t xml:space="preserve"> total respondents</w:t>
      </w:r>
      <w:r w:rsidRPr="00644586">
        <w:rPr>
          <w:rFonts w:ascii="Times New Roman" w:hAnsi="Times New Roman"/>
          <w:sz w:val="24"/>
          <w:szCs w:val="24"/>
        </w:rPr>
        <w:t>/3 years].</w:t>
      </w:r>
    </w:p>
    <w:p w:rsidR="00E9142F" w:rsidRPr="00644586" w:rsidP="00E9142F" w14:paraId="0DAC4B58" w14:textId="77777777">
      <w:pPr>
        <w:ind w:left="360"/>
        <w:rPr>
          <w:rFonts w:ascii="Times New Roman" w:hAnsi="Times New Roman"/>
          <w:b/>
          <w:sz w:val="24"/>
          <w:szCs w:val="24"/>
        </w:rPr>
      </w:pPr>
    </w:p>
    <w:p w:rsidR="00E9142F" w:rsidRPr="00644586" w:rsidP="00E9142F" w14:paraId="25D32944" w14:textId="74B8F75C">
      <w:pPr>
        <w:ind w:left="360"/>
        <w:rPr>
          <w:rFonts w:ascii="Times New Roman" w:hAnsi="Times New Roman"/>
          <w:b/>
          <w:sz w:val="24"/>
          <w:szCs w:val="24"/>
        </w:rPr>
      </w:pPr>
      <w:r w:rsidRPr="00644586">
        <w:rPr>
          <w:rFonts w:ascii="Times New Roman" w:eastAsia="Calibri" w:hAnsi="Times New Roman"/>
          <w:sz w:val="24"/>
          <w:szCs w:val="24"/>
        </w:rPr>
        <w:fldChar w:fldCharType="begin"/>
      </w:r>
      <w:r w:rsidRPr="00644586">
        <w:rPr>
          <w:rFonts w:ascii="Times New Roman" w:hAnsi="Times New Roman"/>
          <w:sz w:val="24"/>
          <w:szCs w:val="24"/>
        </w:rPr>
        <w:instrText xml:space="preserve"> REF _Ref16185594 \h </w:instrText>
      </w:r>
      <w:r w:rsidRPr="00644586">
        <w:rPr>
          <w:rFonts w:ascii="Times New Roman" w:eastAsia="Calibri" w:hAnsi="Times New Roman"/>
          <w:sz w:val="24"/>
          <w:szCs w:val="24"/>
        </w:rPr>
        <w:instrText xml:space="preserve"> \* MERGEFORMAT </w:instrText>
      </w:r>
      <w:r w:rsidRPr="00644586">
        <w:rPr>
          <w:rFonts w:ascii="Times New Roman" w:eastAsia="Calibri" w:hAnsi="Times New Roman"/>
          <w:sz w:val="24"/>
          <w:szCs w:val="24"/>
        </w:rPr>
        <w:fldChar w:fldCharType="separate"/>
      </w:r>
      <w:r w:rsidRPr="00D9369E" w:rsidR="00D9369E">
        <w:rPr>
          <w:rFonts w:ascii="Times New Roman" w:hAnsi="Times New Roman"/>
          <w:sz w:val="24"/>
          <w:szCs w:val="24"/>
        </w:rPr>
        <w:t>Table 2</w:t>
      </w:r>
      <w:r w:rsidRPr="00644586">
        <w:rPr>
          <w:rFonts w:ascii="Times New Roman" w:eastAsia="Calibri" w:hAnsi="Times New Roman"/>
          <w:sz w:val="24"/>
          <w:szCs w:val="24"/>
        </w:rPr>
        <w:fldChar w:fldCharType="end"/>
      </w:r>
      <w:r w:rsidRPr="00644586">
        <w:rPr>
          <w:rFonts w:ascii="Times New Roman" w:hAnsi="Times New Roman"/>
          <w:sz w:val="24"/>
          <w:szCs w:val="24"/>
        </w:rPr>
        <w:t xml:space="preserve"> presents the estimated annual responses for Form MCSA-1 (one response per respondent).</w:t>
      </w:r>
      <w:r>
        <w:rPr>
          <w:rFonts w:ascii="Times New Roman" w:hAnsi="Times New Roman"/>
          <w:sz w:val="24"/>
          <w:szCs w:val="24"/>
        </w:rPr>
        <w:t xml:space="preserve"> </w:t>
      </w:r>
      <w:r w:rsidRPr="00644586">
        <w:rPr>
          <w:rFonts w:ascii="Times New Roman" w:hAnsi="Times New Roman"/>
          <w:sz w:val="24"/>
          <w:szCs w:val="24"/>
        </w:rPr>
        <w:t>The time required to read the instructions, collect the information, and complete the form, which incorporates information from the MCS-150 and the OP-1 series of forms</w:t>
      </w:r>
      <w:r w:rsidR="001516D0">
        <w:rPr>
          <w:rFonts w:ascii="Times New Roman" w:hAnsi="Times New Roman"/>
          <w:sz w:val="24"/>
          <w:szCs w:val="24"/>
        </w:rPr>
        <w:t>,</w:t>
      </w:r>
      <w:r w:rsidRPr="00644586">
        <w:rPr>
          <w:rFonts w:ascii="Times New Roman" w:hAnsi="Times New Roman"/>
          <w:sz w:val="24"/>
          <w:szCs w:val="24"/>
        </w:rPr>
        <w:t xml:space="preserve"> is estimated to average</w:t>
      </w:r>
      <w:r w:rsidR="002E5491">
        <w:rPr>
          <w:rFonts w:ascii="Times New Roman" w:hAnsi="Times New Roman"/>
          <w:sz w:val="24"/>
          <w:szCs w:val="24"/>
        </w:rPr>
        <w:t xml:space="preserve"> 1 hour and 20 minutes </w:t>
      </w:r>
      <w:r w:rsidR="00206815">
        <w:rPr>
          <w:rFonts w:ascii="Times New Roman" w:hAnsi="Times New Roman"/>
          <w:sz w:val="24"/>
          <w:szCs w:val="24"/>
        </w:rPr>
        <w:t>(</w:t>
      </w:r>
      <w:r w:rsidR="002E5491">
        <w:rPr>
          <w:rFonts w:ascii="Times New Roman" w:hAnsi="Times New Roman"/>
          <w:sz w:val="24"/>
          <w:szCs w:val="24"/>
        </w:rPr>
        <w:t xml:space="preserve">approximately </w:t>
      </w:r>
      <w:r w:rsidR="001A77EC">
        <w:rPr>
          <w:rFonts w:ascii="Times New Roman" w:hAnsi="Times New Roman"/>
          <w:sz w:val="24"/>
          <w:szCs w:val="24"/>
        </w:rPr>
        <w:t>1.3</w:t>
      </w:r>
      <w:r w:rsidR="002E5491">
        <w:rPr>
          <w:rFonts w:ascii="Times New Roman" w:hAnsi="Times New Roman"/>
          <w:sz w:val="24"/>
          <w:szCs w:val="24"/>
        </w:rPr>
        <w:t xml:space="preserve">4 </w:t>
      </w:r>
      <w:r w:rsidRPr="00644586">
        <w:rPr>
          <w:rFonts w:ascii="Times New Roman" w:hAnsi="Times New Roman"/>
          <w:sz w:val="24"/>
          <w:szCs w:val="24"/>
        </w:rPr>
        <w:t>hours</w:t>
      </w:r>
      <w:r w:rsidR="00206815">
        <w:rPr>
          <w:rFonts w:ascii="Times New Roman" w:hAnsi="Times New Roman"/>
          <w:sz w:val="24"/>
          <w:szCs w:val="24"/>
        </w:rPr>
        <w:t>)</w:t>
      </w:r>
      <w:r w:rsidR="001A77EC">
        <w:rPr>
          <w:rFonts w:ascii="Times New Roman" w:hAnsi="Times New Roman"/>
          <w:sz w:val="24"/>
          <w:szCs w:val="24"/>
        </w:rPr>
        <w:t>, based on an FMCSA analysis of user completion times</w:t>
      </w:r>
      <w:r w:rsidRPr="00644586">
        <w:rPr>
          <w:rFonts w:ascii="Times New Roman" w:hAnsi="Times New Roman"/>
          <w:sz w:val="24"/>
          <w:szCs w:val="24"/>
        </w:rPr>
        <w:t>.</w:t>
      </w:r>
    </w:p>
    <w:p w:rsidR="00E9142F" w:rsidP="00E9142F" w14:paraId="091E6670" w14:textId="77777777">
      <w:pPr>
        <w:widowControl/>
        <w:autoSpaceDE/>
        <w:autoSpaceDN/>
        <w:adjustRightInd/>
        <w:rPr>
          <w:rFonts w:ascii="Times New Roman" w:hAnsi="Times New Roman"/>
          <w:sz w:val="24"/>
          <w:szCs w:val="24"/>
        </w:rPr>
      </w:pPr>
    </w:p>
    <w:p w:rsidR="00E9142F" w:rsidP="00A77FC8" w14:paraId="06FBDA5A" w14:textId="72CCE4A7">
      <w:pPr>
        <w:ind w:left="720"/>
        <w:jc w:val="center"/>
        <w:rPr>
          <w:rFonts w:ascii="Times New Roman" w:hAnsi="Times New Roman"/>
          <w:b/>
          <w:sz w:val="24"/>
          <w:szCs w:val="24"/>
        </w:rPr>
      </w:pPr>
      <w:bookmarkStart w:id="5" w:name="_Ref16185594"/>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2</w:t>
      </w:r>
      <w:r w:rsidRPr="00644586">
        <w:rPr>
          <w:rFonts w:ascii="Times New Roman" w:hAnsi="Times New Roman"/>
          <w:b/>
          <w:sz w:val="24"/>
          <w:szCs w:val="24"/>
        </w:rPr>
        <w:fldChar w:fldCharType="end"/>
      </w:r>
      <w:bookmarkEnd w:id="5"/>
      <w:r w:rsidRPr="00644586">
        <w:rPr>
          <w:rFonts w:ascii="Times New Roman" w:hAnsi="Times New Roman"/>
          <w:b/>
          <w:sz w:val="24"/>
          <w:szCs w:val="24"/>
        </w:rPr>
        <w:t xml:space="preserve">. </w:t>
      </w:r>
      <w:r>
        <w:rPr>
          <w:rFonts w:ascii="Times New Roman" w:hAnsi="Times New Roman"/>
          <w:b/>
          <w:sz w:val="24"/>
          <w:szCs w:val="24"/>
        </w:rPr>
        <w:t>Estimated r</w:t>
      </w:r>
      <w:r w:rsidRPr="00644586">
        <w:rPr>
          <w:rFonts w:ascii="Times New Roman" w:hAnsi="Times New Roman"/>
          <w:b/>
          <w:sz w:val="24"/>
          <w:szCs w:val="24"/>
        </w:rPr>
        <w:t>espondent</w:t>
      </w:r>
      <w:r w:rsidRPr="00644586">
        <w:rPr>
          <w:rFonts w:ascii="Times New Roman" w:hAnsi="Times New Roman"/>
          <w:b/>
          <w:i/>
          <w:sz w:val="24"/>
          <w:szCs w:val="24"/>
        </w:rPr>
        <w:t>s</w:t>
      </w:r>
      <w:r w:rsidRPr="00644586">
        <w:rPr>
          <w:rFonts w:ascii="Times New Roman" w:hAnsi="Times New Roman"/>
          <w:b/>
          <w:sz w:val="24"/>
          <w:szCs w:val="24"/>
        </w:rPr>
        <w:t xml:space="preserve"> and burden hour</w:t>
      </w:r>
      <w:r>
        <w:rPr>
          <w:rFonts w:ascii="Times New Roman" w:hAnsi="Times New Roman"/>
          <w:b/>
          <w:sz w:val="24"/>
          <w:szCs w:val="24"/>
        </w:rPr>
        <w:t>s for initial filings</w:t>
      </w:r>
    </w:p>
    <w:p w:rsidR="00A77FC8" w:rsidRPr="00644586" w:rsidP="00A77FC8" w14:paraId="66F22669" w14:textId="77777777">
      <w:pPr>
        <w:ind w:left="720"/>
        <w:jc w:val="center"/>
        <w:rPr>
          <w:rFonts w:ascii="Times New Roman" w:hAnsi="Times New Roman"/>
          <w:b/>
          <w:sz w:val="24"/>
          <w:szCs w:val="24"/>
        </w:rPr>
      </w:pPr>
    </w:p>
    <w:tbl>
      <w:tblPr>
        <w:tblW w:w="78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980"/>
        <w:gridCol w:w="2178"/>
        <w:gridCol w:w="1620"/>
        <w:gridCol w:w="2070"/>
      </w:tblGrid>
      <w:tr w14:paraId="7CD5D565" w14:textId="77777777" w:rsidTr="0666F94E">
        <w:tblPrEx>
          <w:tblW w:w="78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jc w:val="center"/>
        </w:trPr>
        <w:tc>
          <w:tcPr>
            <w:tcW w:w="1980" w:type="dxa"/>
            <w:vMerge w:val="restart"/>
            <w:shd w:val="clear" w:color="auto" w:fill="F2F2F2" w:themeFill="background1" w:themeFillShade="F2"/>
            <w:noWrap/>
            <w:vAlign w:val="center"/>
            <w:hideMark/>
          </w:tcPr>
          <w:p w:rsidR="0054632A" w:rsidRPr="0054632A" w:rsidP="0054632A" w14:paraId="6F6BB95A" w14:textId="77777777">
            <w:pPr>
              <w:widowControl/>
              <w:autoSpaceDE/>
              <w:autoSpaceDN/>
              <w:adjustRightInd/>
              <w:jc w:val="center"/>
              <w:rPr>
                <w:rFonts w:ascii="Times New Roman" w:hAnsi="Times New Roman"/>
                <w:b/>
                <w:bCs/>
                <w:color w:val="000000"/>
                <w:sz w:val="24"/>
                <w:szCs w:val="24"/>
              </w:rPr>
            </w:pPr>
            <w:r w:rsidRPr="0054632A">
              <w:rPr>
                <w:rFonts w:ascii="Times New Roman" w:hAnsi="Times New Roman"/>
                <w:b/>
                <w:bCs/>
                <w:color w:val="000000"/>
                <w:sz w:val="24"/>
                <w:szCs w:val="24"/>
              </w:rPr>
              <w:t>Calendar Year</w:t>
            </w:r>
          </w:p>
        </w:tc>
        <w:tc>
          <w:tcPr>
            <w:tcW w:w="2178" w:type="dxa"/>
            <w:shd w:val="clear" w:color="auto" w:fill="F2F2F2" w:themeFill="background1" w:themeFillShade="F2"/>
            <w:noWrap/>
            <w:vAlign w:val="center"/>
            <w:hideMark/>
          </w:tcPr>
          <w:p w:rsidR="0054632A" w:rsidRPr="0054632A" w:rsidP="0054632A" w14:paraId="12B29C9F" w14:textId="77777777">
            <w:pPr>
              <w:widowControl/>
              <w:autoSpaceDE/>
              <w:autoSpaceDN/>
              <w:adjustRightInd/>
              <w:jc w:val="center"/>
              <w:rPr>
                <w:rFonts w:ascii="Times New Roman" w:hAnsi="Times New Roman"/>
                <w:b/>
                <w:bCs/>
                <w:color w:val="000000"/>
                <w:sz w:val="24"/>
                <w:szCs w:val="24"/>
              </w:rPr>
            </w:pPr>
            <w:r w:rsidRPr="0054632A">
              <w:rPr>
                <w:rFonts w:ascii="Times New Roman" w:hAnsi="Times New Roman"/>
                <w:b/>
                <w:bCs/>
                <w:color w:val="000000"/>
                <w:sz w:val="24"/>
                <w:szCs w:val="24"/>
              </w:rPr>
              <w:t>Respondents/</w:t>
            </w:r>
          </w:p>
        </w:tc>
        <w:tc>
          <w:tcPr>
            <w:tcW w:w="1620" w:type="dxa"/>
            <w:vMerge w:val="restart"/>
            <w:shd w:val="clear" w:color="auto" w:fill="F2F2F2" w:themeFill="background1" w:themeFillShade="F2"/>
            <w:vAlign w:val="center"/>
            <w:hideMark/>
          </w:tcPr>
          <w:p w:rsidR="0054632A" w:rsidRPr="0054632A" w:rsidP="0054632A" w14:paraId="692F3B07" w14:textId="77777777">
            <w:pPr>
              <w:widowControl/>
              <w:autoSpaceDE/>
              <w:autoSpaceDN/>
              <w:adjustRightInd/>
              <w:jc w:val="center"/>
              <w:rPr>
                <w:rFonts w:ascii="Times New Roman" w:hAnsi="Times New Roman"/>
                <w:b/>
                <w:bCs/>
                <w:color w:val="000000"/>
                <w:sz w:val="24"/>
                <w:szCs w:val="24"/>
              </w:rPr>
            </w:pPr>
            <w:r w:rsidRPr="0054632A">
              <w:rPr>
                <w:rFonts w:ascii="Times New Roman" w:hAnsi="Times New Roman"/>
                <w:b/>
                <w:bCs/>
                <w:color w:val="000000"/>
                <w:sz w:val="24"/>
                <w:szCs w:val="24"/>
              </w:rPr>
              <w:t>Hours per Response</w:t>
            </w:r>
          </w:p>
        </w:tc>
        <w:tc>
          <w:tcPr>
            <w:tcW w:w="2070" w:type="dxa"/>
            <w:vMerge w:val="restart"/>
            <w:shd w:val="clear" w:color="auto" w:fill="F2F2F2" w:themeFill="background1" w:themeFillShade="F2"/>
            <w:vAlign w:val="center"/>
            <w:hideMark/>
          </w:tcPr>
          <w:p w:rsidR="0054632A" w:rsidRPr="0054632A" w:rsidP="0054632A" w14:paraId="53F86F62" w14:textId="77777777">
            <w:pPr>
              <w:widowControl/>
              <w:autoSpaceDE/>
              <w:autoSpaceDN/>
              <w:adjustRightInd/>
              <w:jc w:val="center"/>
              <w:rPr>
                <w:rFonts w:ascii="Times New Roman" w:hAnsi="Times New Roman"/>
                <w:b/>
                <w:bCs/>
                <w:color w:val="000000"/>
                <w:sz w:val="24"/>
                <w:szCs w:val="24"/>
              </w:rPr>
            </w:pPr>
            <w:r w:rsidRPr="0054632A">
              <w:rPr>
                <w:rFonts w:ascii="Times New Roman" w:hAnsi="Times New Roman"/>
                <w:b/>
                <w:bCs/>
                <w:color w:val="000000"/>
                <w:sz w:val="24"/>
                <w:szCs w:val="24"/>
              </w:rPr>
              <w:t>Total Burden Hours</w:t>
            </w:r>
          </w:p>
        </w:tc>
      </w:tr>
      <w:tr w14:paraId="6D833427" w14:textId="77777777" w:rsidTr="0666F94E">
        <w:tblPrEx>
          <w:tblW w:w="7848" w:type="dxa"/>
          <w:jc w:val="center"/>
          <w:tblLook w:val="04A0"/>
        </w:tblPrEx>
        <w:trPr>
          <w:trHeight w:val="310"/>
          <w:jc w:val="center"/>
        </w:trPr>
        <w:tc>
          <w:tcPr>
            <w:tcW w:w="1980" w:type="dxa"/>
            <w:vMerge/>
            <w:vAlign w:val="center"/>
            <w:hideMark/>
          </w:tcPr>
          <w:p w:rsidR="0054632A" w:rsidRPr="0054632A" w:rsidP="0054632A" w14:paraId="326878E1" w14:textId="77777777">
            <w:pPr>
              <w:widowControl/>
              <w:autoSpaceDE/>
              <w:autoSpaceDN/>
              <w:adjustRightInd/>
              <w:rPr>
                <w:rFonts w:ascii="Times New Roman" w:hAnsi="Times New Roman"/>
                <w:b/>
                <w:bCs/>
                <w:color w:val="000000"/>
                <w:sz w:val="24"/>
                <w:szCs w:val="24"/>
              </w:rPr>
            </w:pPr>
          </w:p>
        </w:tc>
        <w:tc>
          <w:tcPr>
            <w:tcW w:w="2178" w:type="dxa"/>
            <w:shd w:val="clear" w:color="auto" w:fill="F2F2F2" w:themeFill="background1" w:themeFillShade="F2"/>
            <w:noWrap/>
            <w:vAlign w:val="center"/>
            <w:hideMark/>
          </w:tcPr>
          <w:p w:rsidR="0054632A" w:rsidRPr="0054632A" w:rsidP="0054632A" w14:paraId="6CF22CDF" w14:textId="77777777">
            <w:pPr>
              <w:widowControl/>
              <w:autoSpaceDE/>
              <w:autoSpaceDN/>
              <w:adjustRightInd/>
              <w:jc w:val="center"/>
              <w:rPr>
                <w:rFonts w:ascii="Times New Roman" w:hAnsi="Times New Roman"/>
                <w:b/>
                <w:bCs/>
                <w:color w:val="000000"/>
                <w:sz w:val="24"/>
                <w:szCs w:val="24"/>
              </w:rPr>
            </w:pPr>
            <w:r w:rsidRPr="0054632A">
              <w:rPr>
                <w:rFonts w:ascii="Times New Roman" w:hAnsi="Times New Roman"/>
                <w:b/>
                <w:bCs/>
                <w:color w:val="000000"/>
                <w:sz w:val="24"/>
                <w:szCs w:val="24"/>
              </w:rPr>
              <w:t>Responses</w:t>
            </w:r>
          </w:p>
        </w:tc>
        <w:tc>
          <w:tcPr>
            <w:tcW w:w="1620" w:type="dxa"/>
            <w:vMerge/>
            <w:vAlign w:val="center"/>
            <w:hideMark/>
          </w:tcPr>
          <w:p w:rsidR="0054632A" w:rsidRPr="0054632A" w:rsidP="0054632A" w14:paraId="21B05EC0" w14:textId="77777777">
            <w:pPr>
              <w:widowControl/>
              <w:autoSpaceDE/>
              <w:autoSpaceDN/>
              <w:adjustRightInd/>
              <w:rPr>
                <w:rFonts w:ascii="Times New Roman" w:hAnsi="Times New Roman"/>
                <w:b/>
                <w:bCs/>
                <w:color w:val="000000"/>
                <w:sz w:val="24"/>
                <w:szCs w:val="24"/>
              </w:rPr>
            </w:pPr>
          </w:p>
        </w:tc>
        <w:tc>
          <w:tcPr>
            <w:tcW w:w="2070" w:type="dxa"/>
            <w:vMerge/>
            <w:vAlign w:val="center"/>
            <w:hideMark/>
          </w:tcPr>
          <w:p w:rsidR="0054632A" w:rsidRPr="0054632A" w:rsidP="0054632A" w14:paraId="062FA96B" w14:textId="77777777">
            <w:pPr>
              <w:widowControl/>
              <w:autoSpaceDE/>
              <w:autoSpaceDN/>
              <w:adjustRightInd/>
              <w:rPr>
                <w:rFonts w:ascii="Times New Roman" w:hAnsi="Times New Roman"/>
                <w:b/>
                <w:bCs/>
                <w:color w:val="000000"/>
                <w:sz w:val="24"/>
                <w:szCs w:val="24"/>
              </w:rPr>
            </w:pPr>
          </w:p>
        </w:tc>
      </w:tr>
      <w:tr w14:paraId="4F4D1A1E" w14:textId="77777777" w:rsidTr="0666F94E">
        <w:tblPrEx>
          <w:tblW w:w="7848" w:type="dxa"/>
          <w:jc w:val="center"/>
          <w:tblLook w:val="04A0"/>
        </w:tblPrEx>
        <w:trPr>
          <w:trHeight w:val="320"/>
          <w:jc w:val="center"/>
        </w:trPr>
        <w:tc>
          <w:tcPr>
            <w:tcW w:w="1980" w:type="dxa"/>
            <w:shd w:val="clear" w:color="auto" w:fill="auto"/>
            <w:noWrap/>
            <w:vAlign w:val="center"/>
            <w:hideMark/>
          </w:tcPr>
          <w:p w:rsidR="00B33183" w:rsidRPr="0059045F" w:rsidP="00B33183" w14:paraId="5D74A48B" w14:textId="56D688EC">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2026</w:t>
            </w:r>
          </w:p>
        </w:tc>
        <w:tc>
          <w:tcPr>
            <w:tcW w:w="2178" w:type="dxa"/>
            <w:shd w:val="clear" w:color="auto" w:fill="auto"/>
            <w:noWrap/>
            <w:vAlign w:val="center"/>
            <w:hideMark/>
          </w:tcPr>
          <w:p w:rsidR="00B33183" w:rsidRPr="00B33183" w:rsidP="00B33183" w14:paraId="5ED94362" w14:textId="248A32F7">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620" w:type="dxa"/>
            <w:shd w:val="clear" w:color="auto" w:fill="auto"/>
            <w:vAlign w:val="center"/>
            <w:hideMark/>
          </w:tcPr>
          <w:p w:rsidR="00B33183" w:rsidRPr="00B33183" w:rsidP="00B33183" w14:paraId="4FFAED1A" w14:textId="64D1EBFE">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1.34</w:t>
            </w:r>
          </w:p>
        </w:tc>
        <w:tc>
          <w:tcPr>
            <w:tcW w:w="2070" w:type="dxa"/>
            <w:shd w:val="clear" w:color="auto" w:fill="auto"/>
            <w:vAlign w:val="center"/>
            <w:hideMark/>
          </w:tcPr>
          <w:p w:rsidR="00B33183" w:rsidRPr="00B33183" w:rsidP="00B33183" w14:paraId="6866EADD" w14:textId="64576D4D">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245,569</w:t>
            </w:r>
          </w:p>
        </w:tc>
      </w:tr>
      <w:tr w14:paraId="33A09DAE" w14:textId="77777777" w:rsidTr="0666F94E">
        <w:tblPrEx>
          <w:tblW w:w="7848" w:type="dxa"/>
          <w:jc w:val="center"/>
          <w:tblLook w:val="04A0"/>
        </w:tblPrEx>
        <w:trPr>
          <w:trHeight w:val="320"/>
          <w:jc w:val="center"/>
        </w:trPr>
        <w:tc>
          <w:tcPr>
            <w:tcW w:w="1980" w:type="dxa"/>
            <w:shd w:val="clear" w:color="auto" w:fill="auto"/>
            <w:noWrap/>
            <w:vAlign w:val="center"/>
            <w:hideMark/>
          </w:tcPr>
          <w:p w:rsidR="00B33183" w:rsidRPr="0059045F" w:rsidP="00B33183" w14:paraId="5BEFD813" w14:textId="090910BF">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2027</w:t>
            </w:r>
          </w:p>
        </w:tc>
        <w:tc>
          <w:tcPr>
            <w:tcW w:w="2178" w:type="dxa"/>
            <w:shd w:val="clear" w:color="auto" w:fill="auto"/>
            <w:noWrap/>
            <w:vAlign w:val="center"/>
            <w:hideMark/>
          </w:tcPr>
          <w:p w:rsidR="00B33183" w:rsidRPr="00B33183" w:rsidP="00B33183" w14:paraId="1B412F51" w14:textId="3BD426D6">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620" w:type="dxa"/>
            <w:shd w:val="clear" w:color="auto" w:fill="auto"/>
            <w:vAlign w:val="center"/>
            <w:hideMark/>
          </w:tcPr>
          <w:p w:rsidR="00B33183" w:rsidRPr="00B33183" w:rsidP="00B33183" w14:paraId="2EC0E4CF" w14:textId="54E2A31A">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1.34</w:t>
            </w:r>
          </w:p>
        </w:tc>
        <w:tc>
          <w:tcPr>
            <w:tcW w:w="2070" w:type="dxa"/>
            <w:shd w:val="clear" w:color="auto" w:fill="auto"/>
            <w:vAlign w:val="center"/>
            <w:hideMark/>
          </w:tcPr>
          <w:p w:rsidR="00B33183" w:rsidRPr="00B33183" w:rsidP="00B33183" w14:paraId="39169D62" w14:textId="1598019A">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245,569</w:t>
            </w:r>
          </w:p>
        </w:tc>
      </w:tr>
      <w:tr w14:paraId="3A4D7753" w14:textId="77777777" w:rsidTr="0666F94E">
        <w:tblPrEx>
          <w:tblW w:w="7848" w:type="dxa"/>
          <w:jc w:val="center"/>
          <w:tblLook w:val="04A0"/>
        </w:tblPrEx>
        <w:trPr>
          <w:trHeight w:val="320"/>
          <w:jc w:val="center"/>
        </w:trPr>
        <w:tc>
          <w:tcPr>
            <w:tcW w:w="1980" w:type="dxa"/>
            <w:shd w:val="clear" w:color="auto" w:fill="auto"/>
            <w:noWrap/>
            <w:vAlign w:val="center"/>
            <w:hideMark/>
          </w:tcPr>
          <w:p w:rsidR="00B33183" w:rsidRPr="0059045F" w:rsidP="00B33183" w14:paraId="33CDF753" w14:textId="03822CAB">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2028</w:t>
            </w:r>
          </w:p>
        </w:tc>
        <w:tc>
          <w:tcPr>
            <w:tcW w:w="2178" w:type="dxa"/>
            <w:shd w:val="clear" w:color="auto" w:fill="auto"/>
            <w:noWrap/>
            <w:vAlign w:val="center"/>
            <w:hideMark/>
          </w:tcPr>
          <w:p w:rsidR="00B33183" w:rsidRPr="00B33183" w:rsidP="00B33183" w14:paraId="7F960031" w14:textId="33F846AE">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620" w:type="dxa"/>
            <w:shd w:val="clear" w:color="auto" w:fill="auto"/>
            <w:vAlign w:val="center"/>
            <w:hideMark/>
          </w:tcPr>
          <w:p w:rsidR="00B33183" w:rsidRPr="00B33183" w:rsidP="00B33183" w14:paraId="38925E39" w14:textId="56BC61A5">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1.34</w:t>
            </w:r>
          </w:p>
        </w:tc>
        <w:tc>
          <w:tcPr>
            <w:tcW w:w="2070" w:type="dxa"/>
            <w:shd w:val="clear" w:color="auto" w:fill="auto"/>
            <w:vAlign w:val="center"/>
            <w:hideMark/>
          </w:tcPr>
          <w:p w:rsidR="00B33183" w:rsidRPr="00B33183" w:rsidP="00B33183" w14:paraId="62358573" w14:textId="13FAC804">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245,569</w:t>
            </w:r>
          </w:p>
        </w:tc>
      </w:tr>
      <w:tr w14:paraId="1CDB254A" w14:textId="77777777" w:rsidTr="0666F94E">
        <w:tblPrEx>
          <w:tblW w:w="7848" w:type="dxa"/>
          <w:jc w:val="center"/>
          <w:tblLook w:val="04A0"/>
        </w:tblPrEx>
        <w:trPr>
          <w:trHeight w:val="310"/>
          <w:jc w:val="center"/>
        </w:trPr>
        <w:tc>
          <w:tcPr>
            <w:tcW w:w="1980" w:type="dxa"/>
            <w:shd w:val="clear" w:color="auto" w:fill="auto"/>
            <w:noWrap/>
            <w:vAlign w:val="center"/>
            <w:hideMark/>
          </w:tcPr>
          <w:p w:rsidR="00B33183" w:rsidRPr="00DD3872" w:rsidP="0A2E9F2C" w14:paraId="48E7903B" w14:textId="16D80976">
            <w:pPr>
              <w:widowControl/>
              <w:autoSpaceDE/>
              <w:autoSpaceDN/>
              <w:adjustRightInd/>
              <w:jc w:val="right"/>
              <w:rPr>
                <w:rFonts w:ascii="Times New Roman" w:hAnsi="Times New Roman"/>
                <w:color w:val="000000"/>
                <w:sz w:val="24"/>
                <w:szCs w:val="24"/>
              </w:rPr>
            </w:pPr>
            <w:r w:rsidRPr="00DD3872">
              <w:rPr>
                <w:rFonts w:ascii="Times New Roman" w:hAnsi="Times New Roman"/>
                <w:color w:val="000000" w:themeColor="text1"/>
                <w:sz w:val="24"/>
                <w:szCs w:val="24"/>
              </w:rPr>
              <w:t>Total</w:t>
            </w:r>
          </w:p>
        </w:tc>
        <w:tc>
          <w:tcPr>
            <w:tcW w:w="2178" w:type="dxa"/>
            <w:shd w:val="clear" w:color="auto" w:fill="auto"/>
            <w:noWrap/>
            <w:vAlign w:val="center"/>
            <w:hideMark/>
          </w:tcPr>
          <w:p w:rsidR="00B33183" w:rsidRPr="00DD3872" w:rsidP="0A2E9F2C" w14:paraId="7695028B" w14:textId="78EFBCB2">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549,782</w:t>
            </w:r>
          </w:p>
        </w:tc>
        <w:tc>
          <w:tcPr>
            <w:tcW w:w="1620" w:type="dxa"/>
            <w:shd w:val="clear" w:color="auto" w:fill="auto"/>
            <w:vAlign w:val="center"/>
            <w:hideMark/>
          </w:tcPr>
          <w:p w:rsidR="00B33183" w:rsidRPr="00DD3872" w:rsidP="0A2E9F2C" w14:paraId="4D8F89E7" w14:textId="2026E7C9">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w:t>
            </w:r>
          </w:p>
        </w:tc>
        <w:tc>
          <w:tcPr>
            <w:tcW w:w="2070" w:type="dxa"/>
            <w:shd w:val="clear" w:color="auto" w:fill="auto"/>
            <w:vAlign w:val="center"/>
            <w:hideMark/>
          </w:tcPr>
          <w:p w:rsidR="00B33183" w:rsidRPr="00DD3872" w:rsidP="0A2E9F2C" w14:paraId="16AA430E" w14:textId="0F96CBE3">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736,708</w:t>
            </w:r>
          </w:p>
        </w:tc>
      </w:tr>
      <w:tr w14:paraId="3F69A451" w14:textId="77777777" w:rsidTr="0666F94E">
        <w:tblPrEx>
          <w:tblW w:w="7848" w:type="dxa"/>
          <w:jc w:val="center"/>
          <w:tblLook w:val="04A0"/>
        </w:tblPrEx>
        <w:trPr>
          <w:trHeight w:val="320"/>
          <w:jc w:val="center"/>
        </w:trPr>
        <w:tc>
          <w:tcPr>
            <w:tcW w:w="1980" w:type="dxa"/>
            <w:shd w:val="clear" w:color="auto" w:fill="auto"/>
            <w:noWrap/>
            <w:vAlign w:val="center"/>
            <w:hideMark/>
          </w:tcPr>
          <w:p w:rsidR="00B33183" w:rsidRPr="00DD3872" w:rsidP="0666F94E" w14:paraId="1E323A03" w14:textId="271869FB">
            <w:pPr>
              <w:widowControl/>
              <w:autoSpaceDE/>
              <w:autoSpaceDN/>
              <w:adjustRightInd/>
              <w:jc w:val="right"/>
              <w:rPr>
                <w:rFonts w:ascii="Times New Roman" w:hAnsi="Times New Roman"/>
                <w:b/>
                <w:bCs/>
                <w:i/>
                <w:iCs/>
                <w:color w:val="000000"/>
                <w:sz w:val="24"/>
                <w:szCs w:val="24"/>
              </w:rPr>
            </w:pPr>
            <w:r w:rsidRPr="0666F94E">
              <w:rPr>
                <w:rFonts w:ascii="Times New Roman" w:hAnsi="Times New Roman"/>
                <w:b/>
                <w:bCs/>
                <w:i/>
                <w:iCs/>
                <w:color w:val="000000" w:themeColor="text1" w:themeShade="FF" w:themeTint="FF"/>
                <w:sz w:val="24"/>
                <w:szCs w:val="24"/>
              </w:rPr>
              <w:t>Annual Average</w:t>
            </w:r>
          </w:p>
        </w:tc>
        <w:tc>
          <w:tcPr>
            <w:tcW w:w="2178" w:type="dxa"/>
            <w:shd w:val="clear" w:color="auto" w:fill="auto"/>
            <w:noWrap/>
            <w:vAlign w:val="center"/>
            <w:hideMark/>
          </w:tcPr>
          <w:p w:rsidR="00B33183" w:rsidRPr="00DD3872" w:rsidP="0A2E9F2C" w14:paraId="07E84C6D" w14:textId="6EA68398">
            <w:pPr>
              <w:widowControl/>
              <w:autoSpaceDE/>
              <w:autoSpaceDN/>
              <w:adjustRightInd/>
              <w:jc w:val="center"/>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183,261</w:t>
            </w:r>
          </w:p>
        </w:tc>
        <w:tc>
          <w:tcPr>
            <w:tcW w:w="1620" w:type="dxa"/>
            <w:shd w:val="clear" w:color="auto" w:fill="auto"/>
            <w:vAlign w:val="center"/>
            <w:hideMark/>
          </w:tcPr>
          <w:p w:rsidR="00B33183" w:rsidRPr="00B33183" w:rsidP="00B33183" w14:paraId="75C8A213" w14:textId="385FA842">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w:t>
            </w:r>
          </w:p>
        </w:tc>
        <w:tc>
          <w:tcPr>
            <w:tcW w:w="2070" w:type="dxa"/>
            <w:shd w:val="clear" w:color="auto" w:fill="auto"/>
            <w:vAlign w:val="center"/>
            <w:hideMark/>
          </w:tcPr>
          <w:p w:rsidR="00B33183" w:rsidRPr="00DD3872" w:rsidP="0666F94E" w14:paraId="2CFEA0C0" w14:textId="0C49E7B3">
            <w:pPr>
              <w:widowControl/>
              <w:autoSpaceDE/>
              <w:autoSpaceDN/>
              <w:adjustRightInd/>
              <w:jc w:val="center"/>
              <w:rPr>
                <w:rFonts w:ascii="Times New Roman" w:hAnsi="Times New Roman"/>
                <w:b/>
                <w:bCs/>
                <w:i/>
                <w:iCs/>
                <w:color w:val="000000"/>
                <w:sz w:val="24"/>
                <w:szCs w:val="24"/>
              </w:rPr>
            </w:pPr>
            <w:r w:rsidRPr="0666F94E">
              <w:rPr>
                <w:rFonts w:ascii="Times New Roman" w:hAnsi="Times New Roman"/>
                <w:b/>
                <w:bCs/>
                <w:i/>
                <w:iCs/>
                <w:color w:val="000000" w:themeColor="text1" w:themeShade="FF" w:themeTint="FF"/>
                <w:sz w:val="24"/>
                <w:szCs w:val="24"/>
              </w:rPr>
              <w:t>245,569</w:t>
            </w:r>
          </w:p>
        </w:tc>
      </w:tr>
    </w:tbl>
    <w:p w:rsidR="00E9142F" w:rsidRPr="00644586" w:rsidP="00E9142F" w14:paraId="124127E3" w14:textId="77777777">
      <w:pPr>
        <w:ind w:left="360"/>
        <w:rPr>
          <w:rFonts w:ascii="Times New Roman" w:hAnsi="Times New Roman"/>
          <w:sz w:val="24"/>
          <w:szCs w:val="24"/>
        </w:rPr>
      </w:pPr>
    </w:p>
    <w:p w:rsidR="00E9142F" w:rsidP="00B33183" w14:paraId="68A3F54C" w14:textId="37982893">
      <w:pPr>
        <w:ind w:left="360"/>
        <w:rPr>
          <w:rFonts w:ascii="Times New Roman" w:hAnsi="Times New Roman"/>
          <w:sz w:val="24"/>
          <w:szCs w:val="24"/>
        </w:rPr>
      </w:pPr>
      <w:bookmarkStart w:id="6" w:name="_Hlk117076113"/>
      <w:r w:rsidRPr="00644586">
        <w:rPr>
          <w:rFonts w:ascii="Times New Roman" w:hAnsi="Times New Roman"/>
          <w:b/>
          <w:sz w:val="24"/>
          <w:szCs w:val="24"/>
        </w:rPr>
        <w:t xml:space="preserve">The total estimated number of burden hours is </w:t>
      </w:r>
      <w:r w:rsidR="00B33183">
        <w:rPr>
          <w:rFonts w:ascii="Times New Roman" w:hAnsi="Times New Roman"/>
          <w:b/>
          <w:sz w:val="24"/>
          <w:szCs w:val="24"/>
        </w:rPr>
        <w:t>736,708</w:t>
      </w:r>
      <w:r w:rsidR="00A14F30">
        <w:rPr>
          <w:rFonts w:ascii="Times New Roman" w:hAnsi="Times New Roman"/>
          <w:b/>
          <w:sz w:val="24"/>
          <w:szCs w:val="24"/>
        </w:rPr>
        <w:t xml:space="preserve"> </w:t>
      </w:r>
      <w:bookmarkEnd w:id="6"/>
      <w:r w:rsidR="00A14F30">
        <w:rPr>
          <w:rFonts w:ascii="Times New Roman" w:hAnsi="Times New Roman"/>
          <w:sz w:val="24"/>
          <w:szCs w:val="24"/>
        </w:rPr>
        <w:t>[</w:t>
      </w:r>
      <w:r w:rsidR="00524FE6">
        <w:rPr>
          <w:rFonts w:ascii="Times New Roman" w:hAnsi="Times New Roman"/>
          <w:sz w:val="24"/>
          <w:szCs w:val="24"/>
        </w:rPr>
        <w:t>549,782</w:t>
      </w:r>
      <w:r w:rsidR="00A14F30">
        <w:rPr>
          <w:rFonts w:ascii="Times New Roman" w:hAnsi="Times New Roman"/>
          <w:sz w:val="24"/>
          <w:szCs w:val="24"/>
        </w:rPr>
        <w:t xml:space="preserve"> </w:t>
      </w:r>
      <w:r w:rsidRPr="00644586">
        <w:rPr>
          <w:rFonts w:ascii="Times New Roman" w:hAnsi="Times New Roman"/>
          <w:sz w:val="24"/>
          <w:szCs w:val="24"/>
        </w:rPr>
        <w:t>responses * 1</w:t>
      </w:r>
      <w:r w:rsidR="008A4F39">
        <w:rPr>
          <w:rFonts w:ascii="Times New Roman" w:hAnsi="Times New Roman"/>
          <w:sz w:val="24"/>
          <w:szCs w:val="24"/>
        </w:rPr>
        <w:t>.</w:t>
      </w:r>
      <w:r w:rsidRPr="00644586">
        <w:rPr>
          <w:rFonts w:ascii="Times New Roman" w:hAnsi="Times New Roman"/>
          <w:sz w:val="24"/>
          <w:szCs w:val="24"/>
        </w:rPr>
        <w:t>3</w:t>
      </w:r>
      <w:r w:rsidR="008A4F39">
        <w:rPr>
          <w:rFonts w:ascii="Times New Roman" w:hAnsi="Times New Roman"/>
          <w:sz w:val="24"/>
          <w:szCs w:val="24"/>
        </w:rPr>
        <w:t>4</w:t>
      </w:r>
      <w:r w:rsidRPr="00644586">
        <w:rPr>
          <w:rFonts w:ascii="Times New Roman" w:hAnsi="Times New Roman"/>
          <w:sz w:val="24"/>
          <w:szCs w:val="24"/>
        </w:rPr>
        <w:t xml:space="preserve"> </w:t>
      </w:r>
      <w:r w:rsidR="008A4F39">
        <w:rPr>
          <w:rFonts w:ascii="Times New Roman" w:hAnsi="Times New Roman"/>
          <w:sz w:val="24"/>
          <w:szCs w:val="24"/>
        </w:rPr>
        <w:t xml:space="preserve">hours </w:t>
      </w:r>
      <w:r w:rsidRPr="00644586">
        <w:rPr>
          <w:rFonts w:ascii="Times New Roman" w:hAnsi="Times New Roman"/>
          <w:sz w:val="24"/>
          <w:szCs w:val="24"/>
        </w:rPr>
        <w:t>per response</w:t>
      </w:r>
      <w:r w:rsidR="00A14F30">
        <w:rPr>
          <w:rFonts w:ascii="Times New Roman" w:hAnsi="Times New Roman"/>
          <w:sz w:val="24"/>
          <w:szCs w:val="24"/>
        </w:rPr>
        <w:t>]</w:t>
      </w:r>
      <w:r w:rsidRPr="00644586">
        <w:rPr>
          <w:rFonts w:ascii="Times New Roman" w:hAnsi="Times New Roman"/>
          <w:sz w:val="24"/>
          <w:szCs w:val="24"/>
        </w:rPr>
        <w:t>.</w:t>
      </w:r>
    </w:p>
    <w:p w:rsidR="00697D42" w:rsidRPr="00644586" w:rsidP="00B33183" w14:paraId="6771581B" w14:textId="77777777">
      <w:pPr>
        <w:ind w:left="360"/>
        <w:rPr>
          <w:rFonts w:ascii="Times New Roman" w:hAnsi="Times New Roman"/>
          <w:b/>
          <w:sz w:val="24"/>
          <w:szCs w:val="24"/>
        </w:rPr>
      </w:pPr>
    </w:p>
    <w:p w:rsidR="00E9142F" w:rsidP="00E9142F" w14:paraId="0D400050" w14:textId="7F73D669">
      <w:pPr>
        <w:ind w:left="360"/>
        <w:rPr>
          <w:rFonts w:ascii="Times New Roman" w:hAnsi="Times New Roman"/>
          <w:sz w:val="24"/>
          <w:szCs w:val="24"/>
        </w:rPr>
      </w:pPr>
      <w:r w:rsidRPr="00644586">
        <w:rPr>
          <w:rFonts w:ascii="Times New Roman" w:hAnsi="Times New Roman"/>
          <w:b/>
          <w:sz w:val="24"/>
          <w:szCs w:val="24"/>
        </w:rPr>
        <w:t xml:space="preserve">The </w:t>
      </w:r>
      <w:r w:rsidR="00396415">
        <w:rPr>
          <w:rFonts w:ascii="Times New Roman" w:hAnsi="Times New Roman"/>
          <w:b/>
          <w:sz w:val="24"/>
          <w:szCs w:val="24"/>
        </w:rPr>
        <w:t xml:space="preserve">average </w:t>
      </w:r>
      <w:r w:rsidRPr="00644586">
        <w:rPr>
          <w:rFonts w:ascii="Times New Roman" w:hAnsi="Times New Roman"/>
          <w:b/>
          <w:sz w:val="24"/>
          <w:szCs w:val="24"/>
        </w:rPr>
        <w:t xml:space="preserve">annual estimated number of burden hours is </w:t>
      </w:r>
      <w:r w:rsidR="00B44770">
        <w:rPr>
          <w:rFonts w:ascii="Times New Roman" w:hAnsi="Times New Roman"/>
          <w:b/>
          <w:sz w:val="24"/>
          <w:szCs w:val="24"/>
        </w:rPr>
        <w:t xml:space="preserve">245,569 </w:t>
      </w:r>
      <w:r w:rsidR="00B44770">
        <w:rPr>
          <w:rFonts w:ascii="Times New Roman" w:hAnsi="Times New Roman"/>
          <w:bCs/>
          <w:sz w:val="24"/>
          <w:szCs w:val="24"/>
        </w:rPr>
        <w:t>[736,708</w:t>
      </w:r>
      <w:r w:rsidRPr="00A14F30" w:rsidR="00A14F30">
        <w:rPr>
          <w:rFonts w:ascii="Times New Roman" w:hAnsi="Times New Roman"/>
          <w:sz w:val="24"/>
          <w:szCs w:val="24"/>
        </w:rPr>
        <w:t xml:space="preserve"> </w:t>
      </w:r>
      <w:r w:rsidRPr="00644586">
        <w:rPr>
          <w:rFonts w:ascii="Times New Roman" w:hAnsi="Times New Roman"/>
          <w:sz w:val="24"/>
          <w:szCs w:val="24"/>
        </w:rPr>
        <w:t>hours/3 years</w:t>
      </w:r>
      <w:r w:rsidR="00A14F30">
        <w:rPr>
          <w:rFonts w:ascii="Times New Roman" w:hAnsi="Times New Roman"/>
          <w:sz w:val="24"/>
          <w:szCs w:val="24"/>
        </w:rPr>
        <w:t>]</w:t>
      </w:r>
      <w:r w:rsidRPr="00644586">
        <w:rPr>
          <w:rFonts w:ascii="Times New Roman" w:hAnsi="Times New Roman"/>
          <w:sz w:val="24"/>
          <w:szCs w:val="24"/>
        </w:rPr>
        <w:t>.</w:t>
      </w:r>
    </w:p>
    <w:p w:rsidR="00FD7ED7" w:rsidP="00E9142F" w14:paraId="2A912DAF" w14:textId="77777777">
      <w:pPr>
        <w:rPr>
          <w:rFonts w:ascii="Times New Roman" w:hAnsi="Times New Roman"/>
          <w:sz w:val="24"/>
          <w:szCs w:val="24"/>
        </w:rPr>
      </w:pPr>
    </w:p>
    <w:p w:rsidR="00E9142F" w:rsidP="0A2E9F2C" w14:paraId="45036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mallCaps/>
          <w:sz w:val="24"/>
          <w:szCs w:val="24"/>
          <w:u w:val="single"/>
        </w:rPr>
      </w:pPr>
      <w:r w:rsidRPr="0A2E9F2C">
        <w:rPr>
          <w:rFonts w:ascii="Times New Roman" w:hAnsi="Times New Roman"/>
          <w:b/>
          <w:bCs/>
          <w:smallCaps/>
          <w:sz w:val="24"/>
          <w:szCs w:val="24"/>
          <w:u w:val="single"/>
        </w:rPr>
        <w:t>Estimated Labor Costs for Industry</w:t>
      </w:r>
    </w:p>
    <w:p w:rsidR="00E9142F" w:rsidRPr="00644586" w:rsidP="00E9142F" w14:paraId="2EF6E6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E9142F" w:rsidP="00E9142F" w14:paraId="50E747C5" w14:textId="1DD4288C">
      <w:pPr>
        <w:ind w:left="360"/>
        <w:rPr>
          <w:rFonts w:ascii="Times New Roman" w:hAnsi="Times New Roman"/>
          <w:sz w:val="24"/>
          <w:szCs w:val="24"/>
        </w:rPr>
      </w:pPr>
      <w:r w:rsidRPr="00644586">
        <w:rPr>
          <w:rFonts w:ascii="Times New Roman" w:hAnsi="Times New Roman"/>
          <w:sz w:val="24"/>
          <w:szCs w:val="24"/>
        </w:rPr>
        <w:t>FMCSA expects completion and submission of Form MCSA-1 to be performed by a carrier compliance officer or equivalent. The Agency estimates the labor cost for this occupation to be $</w:t>
      </w:r>
      <w:r w:rsidR="00303DE7">
        <w:rPr>
          <w:rFonts w:ascii="Times New Roman" w:hAnsi="Times New Roman"/>
          <w:sz w:val="24"/>
          <w:szCs w:val="24"/>
        </w:rPr>
        <w:t>5</w:t>
      </w:r>
      <w:r w:rsidR="175CFE50">
        <w:rPr>
          <w:rFonts w:ascii="Times New Roman" w:hAnsi="Times New Roman"/>
          <w:sz w:val="24"/>
          <w:szCs w:val="24"/>
        </w:rPr>
        <w:t>3.65</w:t>
      </w:r>
      <w:r w:rsidRPr="00644586">
        <w:rPr>
          <w:rFonts w:ascii="Times New Roman" w:hAnsi="Times New Roman"/>
          <w:sz w:val="24"/>
          <w:szCs w:val="24"/>
        </w:rPr>
        <w:t>, comprising wages of $</w:t>
      </w:r>
      <w:r w:rsidR="00BB003D">
        <w:rPr>
          <w:rFonts w:ascii="Times New Roman" w:hAnsi="Times New Roman"/>
          <w:sz w:val="24"/>
          <w:szCs w:val="24"/>
        </w:rPr>
        <w:t>3</w:t>
      </w:r>
      <w:r w:rsidR="1D0A1DEF">
        <w:rPr>
          <w:rFonts w:ascii="Times New Roman" w:hAnsi="Times New Roman"/>
          <w:sz w:val="24"/>
          <w:szCs w:val="24"/>
        </w:rPr>
        <w:t>7.70</w:t>
      </w:r>
      <w:r w:rsidRPr="00644586">
        <w:rPr>
          <w:rFonts w:ascii="Times New Roman" w:hAnsi="Times New Roman"/>
          <w:sz w:val="24"/>
          <w:szCs w:val="24"/>
        </w:rPr>
        <w:t xml:space="preserve"> per hour</w:t>
      </w:r>
      <w:r w:rsidRPr="00644586">
        <w:rPr>
          <w:rFonts w:ascii="Times New Roman" w:hAnsi="Times New Roman"/>
          <w:sz w:val="24"/>
          <w:szCs w:val="24"/>
          <w:vertAlign w:val="superscript"/>
        </w:rPr>
        <w:t xml:space="preserve"> (</w:t>
      </w:r>
      <w:r>
        <w:rPr>
          <w:rStyle w:val="FootnoteReference"/>
          <w:rFonts w:ascii="Times New Roman" w:hAnsi="Times New Roman"/>
          <w:sz w:val="24"/>
          <w:szCs w:val="24"/>
        </w:rPr>
        <w:footnoteReference w:id="3"/>
      </w:r>
      <w:r w:rsidRPr="00644586">
        <w:rPr>
          <w:rFonts w:ascii="Times New Roman" w:hAnsi="Times New Roman"/>
          <w:sz w:val="24"/>
          <w:szCs w:val="24"/>
          <w:vertAlign w:val="superscript"/>
        </w:rPr>
        <w:t>)</w:t>
      </w:r>
      <w:r w:rsidRPr="00644586">
        <w:rPr>
          <w:rFonts w:ascii="Times New Roman" w:hAnsi="Times New Roman"/>
          <w:sz w:val="24"/>
          <w:szCs w:val="24"/>
        </w:rPr>
        <w:t xml:space="preserve"> multiplied by a load factor of 1.</w:t>
      </w:r>
      <w:r w:rsidR="00BB003D">
        <w:rPr>
          <w:rFonts w:ascii="Times New Roman" w:hAnsi="Times New Roman"/>
          <w:sz w:val="24"/>
          <w:szCs w:val="24"/>
        </w:rPr>
        <w:t>42</w:t>
      </w:r>
      <w:r w:rsidRPr="00644586">
        <w:rPr>
          <w:rFonts w:ascii="Times New Roman" w:hAnsi="Times New Roman"/>
          <w:sz w:val="24"/>
          <w:szCs w:val="24"/>
        </w:rPr>
        <w:t>.</w:t>
      </w:r>
      <w:r>
        <w:rPr>
          <w:rFonts w:ascii="Times New Roman" w:hAnsi="Times New Roman"/>
          <w:sz w:val="24"/>
          <w:szCs w:val="24"/>
        </w:rPr>
        <w:t xml:space="preserve"> </w:t>
      </w:r>
      <w:r w:rsidRPr="00644586">
        <w:rPr>
          <w:rFonts w:ascii="Times New Roman" w:hAnsi="Times New Roman"/>
          <w:sz w:val="24"/>
          <w:szCs w:val="24"/>
          <w:vertAlign w:val="superscript"/>
        </w:rPr>
        <w:t>(</w:t>
      </w:r>
      <w:r>
        <w:rPr>
          <w:rStyle w:val="FootnoteReference"/>
          <w:rFonts w:ascii="Times New Roman" w:hAnsi="Times New Roman"/>
          <w:sz w:val="24"/>
          <w:szCs w:val="24"/>
        </w:rPr>
        <w:footnoteReference w:id="4"/>
      </w:r>
      <w:r w:rsidRPr="00644586">
        <w:rPr>
          <w:rFonts w:ascii="Times New Roman" w:hAnsi="Times New Roman"/>
          <w:sz w:val="24"/>
          <w:szCs w:val="24"/>
          <w:vertAlign w:val="superscript"/>
        </w:rPr>
        <w:t>,</w:t>
      </w:r>
      <w:r>
        <w:rPr>
          <w:rStyle w:val="FootnoteReference"/>
          <w:rFonts w:ascii="Times New Roman" w:hAnsi="Times New Roman"/>
          <w:sz w:val="24"/>
          <w:szCs w:val="24"/>
        </w:rPr>
        <w:footnoteReference w:id="5"/>
      </w:r>
      <w:r w:rsidRPr="00644586">
        <w:rPr>
          <w:rStyle w:val="FootnoteReference"/>
          <w:rFonts w:ascii="Times New Roman" w:hAnsi="Times New Roman"/>
          <w:sz w:val="24"/>
          <w:szCs w:val="24"/>
        </w:rPr>
        <w:t>)</w:t>
      </w:r>
      <w:r w:rsidRPr="00644586">
        <w:rPr>
          <w:rFonts w:ascii="Times New Roman" w:hAnsi="Times New Roman"/>
          <w:sz w:val="24"/>
          <w:szCs w:val="24"/>
        </w:rPr>
        <w:t xml:space="preserve"> Estimated labor costs to the industry associated with filing Form MCSA-1 are presented in </w:t>
      </w:r>
      <w:r w:rsidR="0036381C">
        <w:rPr>
          <w:rFonts w:ascii="Times New Roman" w:hAnsi="Times New Roman"/>
          <w:sz w:val="24"/>
          <w:szCs w:val="24"/>
        </w:rPr>
        <w:t xml:space="preserve">Table </w:t>
      </w:r>
      <w:r w:rsidR="00A52B96">
        <w:rPr>
          <w:rFonts w:ascii="Times New Roman" w:hAnsi="Times New Roman"/>
          <w:sz w:val="24"/>
          <w:szCs w:val="24"/>
        </w:rPr>
        <w:t>3</w:t>
      </w:r>
      <w:r w:rsidRPr="00644586">
        <w:rPr>
          <w:rFonts w:ascii="Times New Roman" w:hAnsi="Times New Roman"/>
          <w:sz w:val="24"/>
          <w:szCs w:val="24"/>
        </w:rPr>
        <w:t>.</w:t>
      </w:r>
    </w:p>
    <w:p w:rsidR="00A52B96" w:rsidP="00E9142F" w14:paraId="20577336" w14:textId="77777777">
      <w:pPr>
        <w:ind w:left="360"/>
        <w:rPr>
          <w:rFonts w:ascii="Times New Roman" w:hAnsi="Times New Roman"/>
          <w:sz w:val="24"/>
          <w:szCs w:val="24"/>
        </w:rPr>
      </w:pPr>
    </w:p>
    <w:p w:rsidR="002D204E" w:rsidP="00E9142F" w14:paraId="6AB575D9" w14:textId="77777777">
      <w:pPr>
        <w:ind w:left="360"/>
        <w:rPr>
          <w:rFonts w:ascii="Times New Roman" w:hAnsi="Times New Roman"/>
          <w:sz w:val="24"/>
          <w:szCs w:val="24"/>
        </w:rPr>
      </w:pPr>
    </w:p>
    <w:p w:rsidR="002D204E" w:rsidP="00E9142F" w14:paraId="42C8A2A4" w14:textId="77777777">
      <w:pPr>
        <w:ind w:left="360"/>
        <w:rPr>
          <w:rFonts w:ascii="Times New Roman" w:hAnsi="Times New Roman"/>
          <w:sz w:val="24"/>
          <w:szCs w:val="24"/>
        </w:rPr>
      </w:pPr>
    </w:p>
    <w:p w:rsidR="002D204E" w:rsidP="00E9142F" w14:paraId="72388EB9" w14:textId="77777777">
      <w:pPr>
        <w:ind w:left="360"/>
        <w:rPr>
          <w:rFonts w:ascii="Times New Roman" w:hAnsi="Times New Roman"/>
          <w:sz w:val="24"/>
          <w:szCs w:val="24"/>
        </w:rPr>
      </w:pPr>
    </w:p>
    <w:p w:rsidR="00E9142F" w:rsidP="00A77FC8" w14:paraId="53B92ADB" w14:textId="10FD3F65">
      <w:pPr>
        <w:keepNext/>
        <w:ind w:firstLine="360"/>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3</w:t>
      </w:r>
      <w:r w:rsidRPr="00644586">
        <w:rPr>
          <w:rFonts w:ascii="Times New Roman" w:hAnsi="Times New Roman"/>
          <w:b/>
          <w:sz w:val="24"/>
          <w:szCs w:val="24"/>
        </w:rPr>
        <w:fldChar w:fldCharType="end"/>
      </w:r>
      <w:r w:rsidRPr="00644586">
        <w:rPr>
          <w:rFonts w:ascii="Times New Roman" w:hAnsi="Times New Roman"/>
          <w:b/>
          <w:sz w:val="24"/>
          <w:szCs w:val="24"/>
        </w:rPr>
        <w:t>. Estimated labor hour costs</w:t>
      </w:r>
      <w:r>
        <w:rPr>
          <w:rFonts w:ascii="Times New Roman" w:hAnsi="Times New Roman"/>
          <w:b/>
          <w:sz w:val="24"/>
          <w:szCs w:val="24"/>
        </w:rPr>
        <w:t xml:space="preserve"> for calendar years 202</w:t>
      </w:r>
      <w:r w:rsidR="002B58CE">
        <w:rPr>
          <w:rFonts w:ascii="Times New Roman" w:hAnsi="Times New Roman"/>
          <w:b/>
          <w:sz w:val="24"/>
          <w:szCs w:val="24"/>
        </w:rPr>
        <w:t>6</w:t>
      </w:r>
      <w:r w:rsidR="00991456">
        <w:rPr>
          <w:rFonts w:ascii="Times New Roman" w:hAnsi="Times New Roman"/>
          <w:b/>
          <w:sz w:val="24"/>
          <w:szCs w:val="24"/>
        </w:rPr>
        <w:t>-</w:t>
      </w:r>
      <w:r w:rsidR="00884B0D">
        <w:rPr>
          <w:rFonts w:ascii="Times New Roman" w:hAnsi="Times New Roman"/>
          <w:b/>
          <w:sz w:val="24"/>
          <w:szCs w:val="24"/>
        </w:rPr>
        <w:t>20</w:t>
      </w:r>
      <w:r w:rsidR="00991456">
        <w:rPr>
          <w:rFonts w:ascii="Times New Roman" w:hAnsi="Times New Roman"/>
          <w:b/>
          <w:sz w:val="24"/>
          <w:szCs w:val="24"/>
        </w:rPr>
        <w:t>2</w:t>
      </w:r>
      <w:r w:rsidR="002B58CE">
        <w:rPr>
          <w:rFonts w:ascii="Times New Roman" w:hAnsi="Times New Roman"/>
          <w:b/>
          <w:sz w:val="24"/>
          <w:szCs w:val="24"/>
        </w:rPr>
        <w:t>8</w:t>
      </w:r>
    </w:p>
    <w:p w:rsidR="00A77FC8" w:rsidRPr="00644586" w:rsidP="00A77FC8" w14:paraId="666CEB5C" w14:textId="77777777">
      <w:pPr>
        <w:keepNext/>
        <w:ind w:firstLine="360"/>
        <w:jc w:val="center"/>
        <w:rPr>
          <w:rFonts w:ascii="Times New Roman" w:hAnsi="Times New Roman"/>
          <w:b/>
          <w:sz w:val="24"/>
          <w:szCs w:val="24"/>
        </w:rPr>
      </w:pPr>
    </w:p>
    <w:tbl>
      <w:tblPr>
        <w:tblW w:w="8738" w:type="dxa"/>
        <w:tblInd w:w="602" w:type="dxa"/>
        <w:tblLook w:val="04A0"/>
      </w:tblPr>
      <w:tblGrid>
        <w:gridCol w:w="1908"/>
        <w:gridCol w:w="2040"/>
        <w:gridCol w:w="950"/>
        <w:gridCol w:w="3840"/>
      </w:tblGrid>
      <w:tr w14:paraId="68D1DC79" w14:textId="77777777" w:rsidTr="00775118">
        <w:tblPrEx>
          <w:tblW w:w="8738" w:type="dxa"/>
          <w:tblInd w:w="602" w:type="dxa"/>
          <w:tblLook w:val="04A0"/>
        </w:tblPrEx>
        <w:trPr>
          <w:trHeight w:val="610"/>
        </w:trPr>
        <w:tc>
          <w:tcPr>
            <w:tcW w:w="190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54632A" w:rsidRPr="00F5241C" w:rsidP="0054632A" w14:paraId="7C55A55A" w14:textId="77777777">
            <w:pPr>
              <w:widowControl/>
              <w:autoSpaceDE/>
              <w:autoSpaceDN/>
              <w:adjustRightInd/>
              <w:jc w:val="center"/>
              <w:rPr>
                <w:rFonts w:ascii="Times New Roman" w:hAnsi="Times New Roman"/>
                <w:b/>
                <w:bCs/>
                <w:color w:val="000000"/>
                <w:sz w:val="24"/>
                <w:szCs w:val="24"/>
              </w:rPr>
            </w:pPr>
            <w:r w:rsidRPr="00F5241C">
              <w:rPr>
                <w:rFonts w:ascii="Times New Roman" w:hAnsi="Times New Roman"/>
                <w:b/>
                <w:bCs/>
                <w:color w:val="000000"/>
                <w:sz w:val="24"/>
                <w:szCs w:val="24"/>
              </w:rPr>
              <w:t>Year</w:t>
            </w:r>
          </w:p>
        </w:tc>
        <w:tc>
          <w:tcPr>
            <w:tcW w:w="204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54632A" w:rsidRPr="00F5241C" w:rsidP="0054632A" w14:paraId="7CB56E7E" w14:textId="77777777">
            <w:pPr>
              <w:widowControl/>
              <w:autoSpaceDE/>
              <w:autoSpaceDN/>
              <w:adjustRightInd/>
              <w:jc w:val="center"/>
              <w:rPr>
                <w:rFonts w:ascii="Times New Roman" w:hAnsi="Times New Roman"/>
                <w:b/>
                <w:bCs/>
                <w:color w:val="000000"/>
                <w:sz w:val="24"/>
                <w:szCs w:val="24"/>
              </w:rPr>
            </w:pPr>
            <w:r w:rsidRPr="00F5241C">
              <w:rPr>
                <w:rFonts w:ascii="Times New Roman" w:hAnsi="Times New Roman"/>
                <w:b/>
                <w:bCs/>
                <w:color w:val="000000"/>
                <w:sz w:val="24"/>
                <w:szCs w:val="24"/>
              </w:rPr>
              <w:t>Burden Hours</w:t>
            </w:r>
          </w:p>
        </w:tc>
        <w:tc>
          <w:tcPr>
            <w:tcW w:w="95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54632A" w:rsidRPr="00F5241C" w:rsidP="0054632A" w14:paraId="575CE144" w14:textId="77777777">
            <w:pPr>
              <w:widowControl/>
              <w:autoSpaceDE/>
              <w:autoSpaceDN/>
              <w:adjustRightInd/>
              <w:jc w:val="center"/>
              <w:rPr>
                <w:rFonts w:ascii="Times New Roman" w:hAnsi="Times New Roman"/>
                <w:b/>
                <w:bCs/>
                <w:color w:val="000000"/>
                <w:sz w:val="24"/>
                <w:szCs w:val="24"/>
              </w:rPr>
            </w:pPr>
            <w:r w:rsidRPr="00F5241C">
              <w:rPr>
                <w:rFonts w:ascii="Times New Roman" w:hAnsi="Times New Roman"/>
                <w:b/>
                <w:bCs/>
                <w:color w:val="000000"/>
                <w:sz w:val="24"/>
                <w:szCs w:val="24"/>
              </w:rPr>
              <w:t>Hourly Wage</w:t>
            </w:r>
          </w:p>
        </w:tc>
        <w:tc>
          <w:tcPr>
            <w:tcW w:w="38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54632A" w:rsidRPr="00F5241C" w:rsidP="0054632A" w14:paraId="213AD388" w14:textId="77777777">
            <w:pPr>
              <w:widowControl/>
              <w:autoSpaceDE/>
              <w:autoSpaceDN/>
              <w:adjustRightInd/>
              <w:jc w:val="center"/>
              <w:rPr>
                <w:rFonts w:ascii="Times New Roman" w:hAnsi="Times New Roman"/>
                <w:b/>
                <w:bCs/>
                <w:color w:val="000000"/>
                <w:sz w:val="24"/>
                <w:szCs w:val="24"/>
              </w:rPr>
            </w:pPr>
            <w:r w:rsidRPr="00F5241C">
              <w:rPr>
                <w:rFonts w:ascii="Times New Roman" w:hAnsi="Times New Roman"/>
                <w:b/>
                <w:bCs/>
                <w:color w:val="000000"/>
                <w:sz w:val="24"/>
                <w:szCs w:val="24"/>
              </w:rPr>
              <w:t>Total Labor Cost to Respondents</w:t>
            </w:r>
          </w:p>
        </w:tc>
      </w:tr>
      <w:tr w14:paraId="08E36D68" w14:textId="77777777" w:rsidTr="00775118">
        <w:tblPrEx>
          <w:tblW w:w="8738" w:type="dxa"/>
          <w:tblInd w:w="602"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noWrap/>
            <w:vAlign w:val="center"/>
            <w:hideMark/>
          </w:tcPr>
          <w:p w:rsidR="0099731B" w:rsidRPr="00F5241C" w:rsidP="0099731B" w14:paraId="56040684" w14:textId="73D547AF">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2026</w:t>
            </w:r>
          </w:p>
        </w:tc>
        <w:tc>
          <w:tcPr>
            <w:tcW w:w="2040" w:type="dxa"/>
            <w:tcBorders>
              <w:top w:val="nil"/>
              <w:left w:val="nil"/>
              <w:bottom w:val="single" w:sz="8" w:space="0" w:color="auto"/>
              <w:right w:val="single" w:sz="8" w:space="0" w:color="auto"/>
            </w:tcBorders>
            <w:shd w:val="clear" w:color="auto" w:fill="auto"/>
            <w:vAlign w:val="center"/>
            <w:hideMark/>
          </w:tcPr>
          <w:p w:rsidR="0099731B" w:rsidRPr="00F5241C" w:rsidP="0099731B" w14:paraId="737AD9C1" w14:textId="4A8B252C">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245,569</w:t>
            </w:r>
          </w:p>
        </w:tc>
        <w:tc>
          <w:tcPr>
            <w:tcW w:w="950" w:type="dxa"/>
            <w:tcBorders>
              <w:top w:val="nil"/>
              <w:left w:val="nil"/>
              <w:bottom w:val="single" w:sz="8" w:space="0" w:color="auto"/>
              <w:right w:val="single" w:sz="8" w:space="0" w:color="auto"/>
            </w:tcBorders>
            <w:shd w:val="clear" w:color="auto" w:fill="auto"/>
            <w:vAlign w:val="center"/>
            <w:hideMark/>
          </w:tcPr>
          <w:p w:rsidR="0099731B" w:rsidRPr="008D33E1" w:rsidP="0099731B" w14:paraId="4B00BF38" w14:textId="2E9A735E">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$53.65</w:t>
            </w:r>
          </w:p>
        </w:tc>
        <w:tc>
          <w:tcPr>
            <w:tcW w:w="3840" w:type="dxa"/>
            <w:tcBorders>
              <w:top w:val="nil"/>
              <w:left w:val="nil"/>
              <w:bottom w:val="single" w:sz="8" w:space="0" w:color="auto"/>
              <w:right w:val="single" w:sz="8" w:space="0" w:color="auto"/>
            </w:tcBorders>
            <w:shd w:val="clear" w:color="auto" w:fill="auto"/>
            <w:vAlign w:val="center"/>
            <w:hideMark/>
          </w:tcPr>
          <w:p w:rsidR="0099731B" w:rsidRPr="008D33E1" w:rsidP="0099731B" w14:paraId="76B495CA" w14:textId="22F40DB7">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$13,174,361</w:t>
            </w:r>
          </w:p>
        </w:tc>
      </w:tr>
      <w:tr w14:paraId="30C78D19" w14:textId="77777777" w:rsidTr="00775118">
        <w:tblPrEx>
          <w:tblW w:w="8738" w:type="dxa"/>
          <w:tblInd w:w="602"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noWrap/>
            <w:vAlign w:val="center"/>
            <w:hideMark/>
          </w:tcPr>
          <w:p w:rsidR="0099731B" w:rsidRPr="00F5241C" w:rsidP="0099731B" w14:paraId="17E8EE8C" w14:textId="306F3038">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2027</w:t>
            </w:r>
          </w:p>
        </w:tc>
        <w:tc>
          <w:tcPr>
            <w:tcW w:w="2040" w:type="dxa"/>
            <w:tcBorders>
              <w:top w:val="nil"/>
              <w:left w:val="nil"/>
              <w:bottom w:val="single" w:sz="8" w:space="0" w:color="auto"/>
              <w:right w:val="single" w:sz="8" w:space="0" w:color="auto"/>
            </w:tcBorders>
            <w:shd w:val="clear" w:color="auto" w:fill="auto"/>
            <w:noWrap/>
            <w:vAlign w:val="center"/>
            <w:hideMark/>
          </w:tcPr>
          <w:p w:rsidR="0099731B" w:rsidRPr="00F5241C" w:rsidP="0099731B" w14:paraId="5E143A70" w14:textId="6CB39DB0">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245,569</w:t>
            </w:r>
          </w:p>
        </w:tc>
        <w:tc>
          <w:tcPr>
            <w:tcW w:w="950" w:type="dxa"/>
            <w:tcBorders>
              <w:top w:val="nil"/>
              <w:left w:val="nil"/>
              <w:bottom w:val="single" w:sz="8" w:space="0" w:color="auto"/>
              <w:right w:val="single" w:sz="8" w:space="0" w:color="auto"/>
            </w:tcBorders>
            <w:shd w:val="clear" w:color="auto" w:fill="auto"/>
            <w:vAlign w:val="center"/>
            <w:hideMark/>
          </w:tcPr>
          <w:p w:rsidR="0099731B" w:rsidRPr="008D33E1" w:rsidP="0099731B" w14:paraId="4912C2C3" w14:textId="04DE8ADA">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$53.6</w:t>
            </w:r>
            <w:r w:rsidR="002D204E">
              <w:rPr>
                <w:rFonts w:ascii="Times New Roman" w:hAnsi="Times New Roman"/>
                <w:color w:val="000000"/>
                <w:sz w:val="24"/>
                <w:szCs w:val="24"/>
              </w:rPr>
              <w:t>5</w:t>
            </w:r>
          </w:p>
        </w:tc>
        <w:tc>
          <w:tcPr>
            <w:tcW w:w="3840" w:type="dxa"/>
            <w:tcBorders>
              <w:top w:val="nil"/>
              <w:left w:val="nil"/>
              <w:bottom w:val="single" w:sz="8" w:space="0" w:color="auto"/>
              <w:right w:val="single" w:sz="8" w:space="0" w:color="auto"/>
            </w:tcBorders>
            <w:shd w:val="clear" w:color="auto" w:fill="auto"/>
            <w:vAlign w:val="center"/>
            <w:hideMark/>
          </w:tcPr>
          <w:p w:rsidR="0099731B" w:rsidRPr="008D33E1" w:rsidP="0099731B" w14:paraId="6FC69824" w14:textId="07BED810">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$13,174,361</w:t>
            </w:r>
          </w:p>
        </w:tc>
      </w:tr>
      <w:tr w14:paraId="197EA806" w14:textId="77777777" w:rsidTr="00775118">
        <w:tblPrEx>
          <w:tblW w:w="8738" w:type="dxa"/>
          <w:tblInd w:w="602"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noWrap/>
            <w:vAlign w:val="center"/>
            <w:hideMark/>
          </w:tcPr>
          <w:p w:rsidR="0099731B" w:rsidRPr="00F5241C" w:rsidP="0099731B" w14:paraId="727CC0D6" w14:textId="6C172B14">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2028</w:t>
            </w:r>
          </w:p>
        </w:tc>
        <w:tc>
          <w:tcPr>
            <w:tcW w:w="2040" w:type="dxa"/>
            <w:tcBorders>
              <w:top w:val="nil"/>
              <w:left w:val="nil"/>
              <w:bottom w:val="single" w:sz="8" w:space="0" w:color="auto"/>
              <w:right w:val="single" w:sz="8" w:space="0" w:color="auto"/>
            </w:tcBorders>
            <w:shd w:val="clear" w:color="auto" w:fill="auto"/>
            <w:noWrap/>
            <w:vAlign w:val="center"/>
            <w:hideMark/>
          </w:tcPr>
          <w:p w:rsidR="0099731B" w:rsidRPr="00F5241C" w:rsidP="0099731B" w14:paraId="36FEB9E5" w14:textId="24E34633">
            <w:pPr>
              <w:widowControl/>
              <w:autoSpaceDE/>
              <w:autoSpaceDN/>
              <w:adjustRightInd/>
              <w:jc w:val="center"/>
              <w:rPr>
                <w:rFonts w:ascii="Times New Roman" w:hAnsi="Times New Roman"/>
                <w:color w:val="000000"/>
                <w:sz w:val="24"/>
                <w:szCs w:val="24"/>
              </w:rPr>
            </w:pPr>
            <w:r w:rsidRPr="00F5241C">
              <w:rPr>
                <w:rFonts w:ascii="Times New Roman" w:hAnsi="Times New Roman"/>
                <w:color w:val="000000"/>
                <w:sz w:val="24"/>
                <w:szCs w:val="24"/>
              </w:rPr>
              <w:t>245,569</w:t>
            </w:r>
          </w:p>
        </w:tc>
        <w:tc>
          <w:tcPr>
            <w:tcW w:w="950" w:type="dxa"/>
            <w:tcBorders>
              <w:top w:val="nil"/>
              <w:left w:val="nil"/>
              <w:bottom w:val="single" w:sz="8" w:space="0" w:color="auto"/>
              <w:right w:val="single" w:sz="8" w:space="0" w:color="auto"/>
            </w:tcBorders>
            <w:shd w:val="clear" w:color="auto" w:fill="auto"/>
            <w:vAlign w:val="center"/>
            <w:hideMark/>
          </w:tcPr>
          <w:p w:rsidR="0099731B" w:rsidRPr="008D33E1" w:rsidP="0099731B" w14:paraId="652E4C3F" w14:textId="5EEF71F8">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$53.65</w:t>
            </w:r>
          </w:p>
        </w:tc>
        <w:tc>
          <w:tcPr>
            <w:tcW w:w="3840" w:type="dxa"/>
            <w:tcBorders>
              <w:top w:val="nil"/>
              <w:left w:val="nil"/>
              <w:bottom w:val="single" w:sz="8" w:space="0" w:color="auto"/>
              <w:right w:val="single" w:sz="8" w:space="0" w:color="auto"/>
            </w:tcBorders>
            <w:shd w:val="clear" w:color="auto" w:fill="auto"/>
            <w:vAlign w:val="center"/>
            <w:hideMark/>
          </w:tcPr>
          <w:p w:rsidR="0099731B" w:rsidRPr="008D33E1" w:rsidP="0099731B" w14:paraId="3C3006B8" w14:textId="3F73823A">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$13,174,361</w:t>
            </w:r>
          </w:p>
        </w:tc>
      </w:tr>
      <w:tr w14:paraId="5A36325D" w14:textId="77777777" w:rsidTr="00775118">
        <w:tblPrEx>
          <w:tblW w:w="8738" w:type="dxa"/>
          <w:tblInd w:w="602" w:type="dxa"/>
          <w:tblLook w:val="04A0"/>
        </w:tblPrEx>
        <w:trPr>
          <w:trHeight w:val="310"/>
        </w:trPr>
        <w:tc>
          <w:tcPr>
            <w:tcW w:w="1908" w:type="dxa"/>
            <w:tcBorders>
              <w:top w:val="nil"/>
              <w:left w:val="single" w:sz="8" w:space="0" w:color="auto"/>
              <w:bottom w:val="single" w:sz="8" w:space="0" w:color="auto"/>
              <w:right w:val="single" w:sz="8" w:space="0" w:color="auto"/>
            </w:tcBorders>
            <w:shd w:val="clear" w:color="auto" w:fill="auto"/>
            <w:noWrap/>
            <w:vAlign w:val="center"/>
            <w:hideMark/>
          </w:tcPr>
          <w:p w:rsidR="0099731B" w:rsidRPr="00DD3872" w:rsidP="0099731B" w14:paraId="2B00A63A" w14:textId="7FD2F420">
            <w:pPr>
              <w:widowControl/>
              <w:autoSpaceDE/>
              <w:autoSpaceDN/>
              <w:adjustRightInd/>
              <w:jc w:val="right"/>
              <w:rPr>
                <w:rFonts w:ascii="Times New Roman" w:hAnsi="Times New Roman"/>
                <w:color w:val="000000" w:themeColor="text1"/>
                <w:sz w:val="24"/>
                <w:szCs w:val="24"/>
              </w:rPr>
            </w:pPr>
            <w:r w:rsidRPr="00DD3872">
              <w:rPr>
                <w:rFonts w:ascii="Times New Roman" w:hAnsi="Times New Roman"/>
                <w:color w:val="000000" w:themeColor="text1"/>
                <w:sz w:val="24"/>
                <w:szCs w:val="24"/>
              </w:rPr>
              <w:t>Total</w:t>
            </w:r>
          </w:p>
        </w:tc>
        <w:tc>
          <w:tcPr>
            <w:tcW w:w="2040" w:type="dxa"/>
            <w:tcBorders>
              <w:top w:val="nil"/>
              <w:left w:val="nil"/>
              <w:bottom w:val="single" w:sz="8" w:space="0" w:color="auto"/>
              <w:right w:val="single" w:sz="8" w:space="0" w:color="auto"/>
            </w:tcBorders>
            <w:shd w:val="clear" w:color="auto" w:fill="auto"/>
            <w:noWrap/>
            <w:vAlign w:val="center"/>
            <w:hideMark/>
          </w:tcPr>
          <w:p w:rsidR="0099731B" w:rsidRPr="00DD3872" w:rsidP="0099731B" w14:paraId="52F5D3D0" w14:textId="1D9418C7">
            <w:pPr>
              <w:widowControl/>
              <w:autoSpaceDE/>
              <w:autoSpaceDN/>
              <w:adjustRightInd/>
              <w:jc w:val="center"/>
              <w:rPr>
                <w:rFonts w:ascii="Times New Roman" w:hAnsi="Times New Roman"/>
                <w:color w:val="000000" w:themeColor="text1"/>
                <w:sz w:val="24"/>
                <w:szCs w:val="24"/>
              </w:rPr>
            </w:pPr>
            <w:r w:rsidRPr="00DD3872">
              <w:rPr>
                <w:rFonts w:ascii="Times New Roman" w:hAnsi="Times New Roman"/>
                <w:color w:val="000000" w:themeColor="text1"/>
                <w:sz w:val="24"/>
                <w:szCs w:val="24"/>
              </w:rPr>
              <w:t>736,708</w:t>
            </w:r>
          </w:p>
        </w:tc>
        <w:tc>
          <w:tcPr>
            <w:tcW w:w="950" w:type="dxa"/>
            <w:tcBorders>
              <w:top w:val="nil"/>
              <w:left w:val="nil"/>
              <w:bottom w:val="single" w:sz="8" w:space="0" w:color="auto"/>
              <w:right w:val="single" w:sz="8" w:space="0" w:color="auto"/>
            </w:tcBorders>
            <w:shd w:val="clear" w:color="auto" w:fill="auto"/>
            <w:vAlign w:val="center"/>
            <w:hideMark/>
          </w:tcPr>
          <w:p w:rsidR="0099731B" w:rsidRPr="00DD3872" w:rsidP="0099731B" w14:paraId="3BCBBD1C" w14:textId="1F3AF4BD">
            <w:pPr>
              <w:widowControl/>
              <w:autoSpaceDE/>
              <w:autoSpaceDN/>
              <w:adjustRightInd/>
              <w:jc w:val="center"/>
              <w:rPr>
                <w:rFonts w:ascii="Times New Roman" w:hAnsi="Times New Roman"/>
                <w:color w:val="000000" w:themeColor="text1"/>
                <w:sz w:val="24"/>
                <w:szCs w:val="24"/>
              </w:rPr>
            </w:pPr>
            <w:r w:rsidRPr="00DD3872">
              <w:rPr>
                <w:rFonts w:ascii="Times New Roman" w:hAnsi="Times New Roman"/>
                <w:color w:val="000000"/>
                <w:sz w:val="24"/>
                <w:szCs w:val="24"/>
              </w:rPr>
              <w:t>–</w:t>
            </w:r>
          </w:p>
        </w:tc>
        <w:tc>
          <w:tcPr>
            <w:tcW w:w="3840" w:type="dxa"/>
            <w:tcBorders>
              <w:top w:val="nil"/>
              <w:left w:val="nil"/>
              <w:bottom w:val="single" w:sz="8" w:space="0" w:color="auto"/>
              <w:right w:val="single" w:sz="8" w:space="0" w:color="auto"/>
            </w:tcBorders>
            <w:shd w:val="clear" w:color="auto" w:fill="auto"/>
            <w:vAlign w:val="center"/>
            <w:hideMark/>
          </w:tcPr>
          <w:p w:rsidR="0099731B" w:rsidRPr="00DD3872" w:rsidP="0099731B" w14:paraId="1222C041" w14:textId="4D57CF8C">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$39,523,083</w:t>
            </w:r>
          </w:p>
        </w:tc>
      </w:tr>
      <w:tr w14:paraId="0D8D907E" w14:textId="77777777" w:rsidTr="00775118">
        <w:tblPrEx>
          <w:tblW w:w="8738" w:type="dxa"/>
          <w:tblInd w:w="602" w:type="dxa"/>
          <w:tblLook w:val="04A0"/>
        </w:tblPrEx>
        <w:trPr>
          <w:trHeight w:val="320"/>
        </w:trPr>
        <w:tc>
          <w:tcPr>
            <w:tcW w:w="1908" w:type="dxa"/>
            <w:tcBorders>
              <w:top w:val="nil"/>
              <w:left w:val="single" w:sz="8" w:space="0" w:color="auto"/>
              <w:bottom w:val="single" w:sz="8" w:space="0" w:color="auto"/>
              <w:right w:val="single" w:sz="8" w:space="0" w:color="auto"/>
            </w:tcBorders>
            <w:shd w:val="clear" w:color="auto" w:fill="auto"/>
            <w:noWrap/>
            <w:vAlign w:val="center"/>
            <w:hideMark/>
          </w:tcPr>
          <w:p w:rsidR="0099731B" w:rsidRPr="00DD3872" w:rsidP="0099731B" w14:paraId="6C36EED4" w14:textId="216395EB">
            <w:pPr>
              <w:widowControl/>
              <w:autoSpaceDE/>
              <w:autoSpaceDN/>
              <w:adjustRightInd/>
              <w:jc w:val="right"/>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Annual Average</w:t>
            </w:r>
          </w:p>
        </w:tc>
        <w:tc>
          <w:tcPr>
            <w:tcW w:w="2040" w:type="dxa"/>
            <w:tcBorders>
              <w:top w:val="nil"/>
              <w:left w:val="nil"/>
              <w:bottom w:val="single" w:sz="8" w:space="0" w:color="auto"/>
              <w:right w:val="single" w:sz="8" w:space="0" w:color="auto"/>
            </w:tcBorders>
            <w:shd w:val="clear" w:color="auto" w:fill="auto"/>
            <w:noWrap/>
            <w:vAlign w:val="center"/>
            <w:hideMark/>
          </w:tcPr>
          <w:p w:rsidR="0099731B" w:rsidRPr="00DD3872" w:rsidP="0099731B" w14:paraId="12751B14" w14:textId="69BC63DB">
            <w:pPr>
              <w:widowControl/>
              <w:autoSpaceDE/>
              <w:autoSpaceDN/>
              <w:adjustRightInd/>
              <w:jc w:val="center"/>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245,569</w:t>
            </w:r>
          </w:p>
        </w:tc>
        <w:tc>
          <w:tcPr>
            <w:tcW w:w="950" w:type="dxa"/>
            <w:tcBorders>
              <w:top w:val="nil"/>
              <w:left w:val="nil"/>
              <w:bottom w:val="single" w:sz="8" w:space="0" w:color="auto"/>
              <w:right w:val="single" w:sz="8" w:space="0" w:color="auto"/>
            </w:tcBorders>
            <w:shd w:val="clear" w:color="auto" w:fill="auto"/>
            <w:vAlign w:val="center"/>
            <w:hideMark/>
          </w:tcPr>
          <w:p w:rsidR="0099731B" w:rsidRPr="00F1375C" w:rsidP="0099731B" w14:paraId="319C7CA6" w14:textId="0C907C20">
            <w:pPr>
              <w:widowControl/>
              <w:autoSpaceDE/>
              <w:autoSpaceDN/>
              <w:adjustRightInd/>
              <w:jc w:val="center"/>
              <w:rPr>
                <w:rFonts w:ascii="Times New Roman" w:hAnsi="Times New Roman"/>
                <w:b/>
                <w:bCs/>
                <w:color w:val="000000"/>
                <w:sz w:val="24"/>
                <w:szCs w:val="24"/>
              </w:rPr>
            </w:pPr>
            <w:r w:rsidRPr="00DD3872">
              <w:rPr>
                <w:rFonts w:ascii="Times New Roman" w:hAnsi="Times New Roman"/>
                <w:b/>
                <w:bCs/>
                <w:color w:val="000000"/>
                <w:sz w:val="24"/>
                <w:szCs w:val="24"/>
              </w:rPr>
              <w:t>–</w:t>
            </w:r>
          </w:p>
        </w:tc>
        <w:tc>
          <w:tcPr>
            <w:tcW w:w="3840" w:type="dxa"/>
            <w:tcBorders>
              <w:top w:val="nil"/>
              <w:left w:val="nil"/>
              <w:bottom w:val="single" w:sz="8" w:space="0" w:color="auto"/>
              <w:right w:val="single" w:sz="8" w:space="0" w:color="auto"/>
            </w:tcBorders>
            <w:shd w:val="clear" w:color="auto" w:fill="auto"/>
            <w:vAlign w:val="center"/>
            <w:hideMark/>
          </w:tcPr>
          <w:p w:rsidR="0099731B" w:rsidRPr="00F1375C" w:rsidP="0099731B" w14:paraId="5B66B07D" w14:textId="3CC21DF4">
            <w:pPr>
              <w:widowControl/>
              <w:autoSpaceDE/>
              <w:autoSpaceDN/>
              <w:adjustRightInd/>
              <w:jc w:val="center"/>
              <w:rPr>
                <w:rFonts w:ascii="Times New Roman" w:hAnsi="Times New Roman"/>
                <w:b/>
                <w:bCs/>
                <w:i/>
                <w:iCs/>
                <w:color w:val="000000"/>
                <w:sz w:val="24"/>
                <w:szCs w:val="24"/>
              </w:rPr>
            </w:pPr>
            <w:r w:rsidRPr="00DD3872">
              <w:rPr>
                <w:rFonts w:ascii="Times New Roman" w:hAnsi="Times New Roman"/>
                <w:b/>
                <w:bCs/>
                <w:i/>
                <w:iCs/>
                <w:color w:val="000000"/>
                <w:sz w:val="24"/>
                <w:szCs w:val="24"/>
              </w:rPr>
              <w:t>$13,174,361</w:t>
            </w:r>
          </w:p>
        </w:tc>
      </w:tr>
    </w:tbl>
    <w:p w:rsidR="00E9142F" w:rsidP="00E9142F" w14:paraId="2C2DC092" w14:textId="77777777">
      <w:pPr>
        <w:tabs>
          <w:tab w:val="left" w:pos="5325"/>
        </w:tabs>
        <w:rPr>
          <w:rFonts w:ascii="Times New Roman" w:hAnsi="Times New Roman"/>
          <w:sz w:val="24"/>
          <w:szCs w:val="24"/>
        </w:rPr>
      </w:pPr>
    </w:p>
    <w:p w:rsidR="00E9142F" w:rsidP="00697D42" w14:paraId="7241721C" w14:textId="7B14E397">
      <w:pPr>
        <w:ind w:left="360"/>
        <w:rPr>
          <w:rFonts w:ascii="Times New Roman" w:hAnsi="Times New Roman"/>
          <w:b/>
          <w:bCs/>
          <w:sz w:val="24"/>
          <w:szCs w:val="24"/>
        </w:rPr>
      </w:pPr>
      <w:bookmarkStart w:id="7" w:name="_Hlk117076533"/>
      <w:r w:rsidRPr="003326A4">
        <w:rPr>
          <w:rFonts w:ascii="Times New Roman" w:hAnsi="Times New Roman"/>
          <w:b/>
          <w:bCs/>
          <w:sz w:val="24"/>
          <w:szCs w:val="24"/>
        </w:rPr>
        <w:t>The total estimated labor cost to respondents is $</w:t>
      </w:r>
      <w:r w:rsidR="00E0171F">
        <w:rPr>
          <w:rFonts w:ascii="Times New Roman" w:hAnsi="Times New Roman"/>
          <w:b/>
          <w:bCs/>
          <w:sz w:val="24"/>
          <w:szCs w:val="24"/>
        </w:rPr>
        <w:t>3</w:t>
      </w:r>
      <w:r w:rsidR="00E9428D">
        <w:rPr>
          <w:rFonts w:ascii="Times New Roman" w:hAnsi="Times New Roman"/>
          <w:b/>
          <w:bCs/>
          <w:sz w:val="24"/>
          <w:szCs w:val="24"/>
        </w:rPr>
        <w:t>9,523,083</w:t>
      </w:r>
      <w:r w:rsidR="000E3F01">
        <w:rPr>
          <w:rFonts w:ascii="Times New Roman" w:hAnsi="Times New Roman"/>
          <w:sz w:val="24"/>
          <w:szCs w:val="24"/>
        </w:rPr>
        <w:t xml:space="preserve"> </w:t>
      </w:r>
      <w:bookmarkEnd w:id="7"/>
      <w:r w:rsidR="000E3F01">
        <w:rPr>
          <w:rFonts w:ascii="Times New Roman" w:hAnsi="Times New Roman"/>
          <w:sz w:val="24"/>
          <w:szCs w:val="24"/>
        </w:rPr>
        <w:t>[</w:t>
      </w:r>
      <w:r w:rsidR="00E0171F">
        <w:rPr>
          <w:rFonts w:ascii="Times New Roman" w:hAnsi="Times New Roman"/>
          <w:sz w:val="24"/>
          <w:szCs w:val="24"/>
        </w:rPr>
        <w:t>736,708</w:t>
      </w:r>
      <w:r w:rsidR="000E3F01">
        <w:rPr>
          <w:rFonts w:ascii="Times New Roman" w:hAnsi="Times New Roman"/>
          <w:sz w:val="24"/>
          <w:szCs w:val="24"/>
        </w:rPr>
        <w:t xml:space="preserve"> burden hours *</w:t>
      </w:r>
      <w:r w:rsidR="00A77FC8">
        <w:rPr>
          <w:rFonts w:ascii="Times New Roman" w:hAnsi="Times New Roman"/>
          <w:sz w:val="24"/>
          <w:szCs w:val="24"/>
        </w:rPr>
        <w:t xml:space="preserve"> </w:t>
      </w:r>
      <w:r w:rsidR="000E3F01">
        <w:rPr>
          <w:rFonts w:ascii="Times New Roman" w:hAnsi="Times New Roman"/>
          <w:sz w:val="24"/>
          <w:szCs w:val="24"/>
        </w:rPr>
        <w:t>$</w:t>
      </w:r>
      <w:r w:rsidR="00E9428D">
        <w:rPr>
          <w:rFonts w:ascii="Times New Roman" w:hAnsi="Times New Roman"/>
          <w:sz w:val="24"/>
          <w:szCs w:val="24"/>
        </w:rPr>
        <w:t>53.65</w:t>
      </w:r>
      <w:r w:rsidR="000E3F01">
        <w:rPr>
          <w:rFonts w:ascii="Times New Roman" w:hAnsi="Times New Roman"/>
          <w:sz w:val="24"/>
          <w:szCs w:val="24"/>
        </w:rPr>
        <w:t>/h</w:t>
      </w:r>
      <w:r w:rsidR="005A7B6A">
        <w:rPr>
          <w:rFonts w:ascii="Times New Roman" w:hAnsi="Times New Roman"/>
          <w:sz w:val="24"/>
          <w:szCs w:val="24"/>
        </w:rPr>
        <w:t>our</w:t>
      </w:r>
      <w:r w:rsidR="000E3F01">
        <w:rPr>
          <w:rFonts w:ascii="Times New Roman" w:hAnsi="Times New Roman"/>
          <w:sz w:val="24"/>
          <w:szCs w:val="24"/>
        </w:rPr>
        <w:t>]</w:t>
      </w:r>
      <w:r w:rsidR="005A7B6A">
        <w:rPr>
          <w:rFonts w:ascii="Times New Roman" w:hAnsi="Times New Roman"/>
          <w:sz w:val="24"/>
          <w:szCs w:val="24"/>
        </w:rPr>
        <w:t>.</w:t>
      </w:r>
    </w:p>
    <w:p w:rsidR="00697D42" w:rsidRPr="003326A4" w:rsidP="00697D42" w14:paraId="5049DB51" w14:textId="4FF09DCB">
      <w:pPr>
        <w:tabs>
          <w:tab w:val="left" w:pos="-1440"/>
          <w:tab w:val="left" w:pos="-720"/>
        </w:tabs>
        <w:ind w:left="360"/>
        <w:rPr>
          <w:rFonts w:ascii="Times New Roman" w:hAnsi="Times New Roman"/>
          <w:b/>
          <w:bCs/>
          <w:sz w:val="24"/>
          <w:szCs w:val="24"/>
        </w:rPr>
      </w:pPr>
    </w:p>
    <w:p w:rsidR="00884B0D" w:rsidP="00697D42" w14:paraId="26DE3974" w14:textId="7AE0B685">
      <w:pPr>
        <w:ind w:left="360"/>
        <w:rPr>
          <w:rFonts w:ascii="Times New Roman" w:hAnsi="Times New Roman"/>
          <w:sz w:val="24"/>
          <w:szCs w:val="24"/>
        </w:rPr>
      </w:pPr>
      <w:r w:rsidRPr="003326A4">
        <w:rPr>
          <w:rFonts w:ascii="Times New Roman" w:hAnsi="Times New Roman"/>
          <w:b/>
          <w:bCs/>
          <w:sz w:val="24"/>
          <w:szCs w:val="24"/>
        </w:rPr>
        <w:t xml:space="preserve">The </w:t>
      </w:r>
      <w:r w:rsidRPr="003326A4" w:rsidR="000E3F01">
        <w:rPr>
          <w:rFonts w:ascii="Times New Roman" w:hAnsi="Times New Roman"/>
          <w:b/>
          <w:bCs/>
          <w:sz w:val="24"/>
          <w:szCs w:val="24"/>
        </w:rPr>
        <w:t xml:space="preserve">average </w:t>
      </w:r>
      <w:r w:rsidRPr="003326A4">
        <w:rPr>
          <w:rFonts w:ascii="Times New Roman" w:hAnsi="Times New Roman"/>
          <w:b/>
          <w:bCs/>
          <w:sz w:val="24"/>
          <w:szCs w:val="24"/>
        </w:rPr>
        <w:t>annual estimated labor cost to respondents is $</w:t>
      </w:r>
      <w:r w:rsidR="00E0171F">
        <w:rPr>
          <w:rFonts w:ascii="Times New Roman" w:hAnsi="Times New Roman"/>
          <w:b/>
          <w:bCs/>
          <w:sz w:val="24"/>
          <w:szCs w:val="24"/>
        </w:rPr>
        <w:t>1</w:t>
      </w:r>
      <w:r w:rsidR="00E9428D">
        <w:rPr>
          <w:rFonts w:ascii="Times New Roman" w:hAnsi="Times New Roman"/>
          <w:b/>
          <w:bCs/>
          <w:sz w:val="24"/>
          <w:szCs w:val="24"/>
        </w:rPr>
        <w:t>3,174,361</w:t>
      </w:r>
      <w:r w:rsidRPr="003326A4">
        <w:rPr>
          <w:rFonts w:ascii="Times New Roman" w:hAnsi="Times New Roman"/>
          <w:b/>
          <w:bCs/>
          <w:sz w:val="24"/>
          <w:szCs w:val="24"/>
        </w:rPr>
        <w:t xml:space="preserve"> </w:t>
      </w:r>
      <w:r w:rsidR="000E3F01">
        <w:rPr>
          <w:rFonts w:ascii="Times New Roman" w:hAnsi="Times New Roman"/>
          <w:sz w:val="24"/>
          <w:szCs w:val="24"/>
        </w:rPr>
        <w:t>[</w:t>
      </w:r>
      <w:r>
        <w:rPr>
          <w:rFonts w:ascii="Times New Roman" w:hAnsi="Times New Roman"/>
          <w:sz w:val="24"/>
          <w:szCs w:val="24"/>
        </w:rPr>
        <w:t>$</w:t>
      </w:r>
      <w:r w:rsidR="000A0C62">
        <w:rPr>
          <w:rFonts w:ascii="Times New Roman" w:hAnsi="Times New Roman"/>
          <w:sz w:val="24"/>
          <w:szCs w:val="24"/>
        </w:rPr>
        <w:t>3</w:t>
      </w:r>
      <w:r w:rsidR="00E9428D">
        <w:rPr>
          <w:rFonts w:ascii="Times New Roman" w:hAnsi="Times New Roman"/>
          <w:sz w:val="24"/>
          <w:szCs w:val="24"/>
        </w:rPr>
        <w:t>9,523,</w:t>
      </w:r>
      <w:r w:rsidR="00F1375C">
        <w:rPr>
          <w:rFonts w:ascii="Times New Roman" w:hAnsi="Times New Roman"/>
          <w:sz w:val="24"/>
          <w:szCs w:val="24"/>
        </w:rPr>
        <w:t>083</w:t>
      </w:r>
      <w:r>
        <w:rPr>
          <w:rFonts w:ascii="Times New Roman" w:hAnsi="Times New Roman"/>
          <w:sz w:val="24"/>
          <w:szCs w:val="24"/>
        </w:rPr>
        <w:t xml:space="preserve"> total cost to respondents/3 years]</w:t>
      </w:r>
      <w:r w:rsidR="005A7B6A">
        <w:rPr>
          <w:rFonts w:ascii="Times New Roman" w:hAnsi="Times New Roman"/>
          <w:sz w:val="24"/>
          <w:szCs w:val="24"/>
        </w:rPr>
        <w:t>.</w:t>
      </w:r>
    </w:p>
    <w:p w:rsidR="00884B0D" w:rsidP="00697D42" w14:paraId="0B82D5C0" w14:textId="077DE885">
      <w:pPr>
        <w:ind w:left="360"/>
        <w:rPr>
          <w:rFonts w:ascii="Times New Roman" w:hAnsi="Times New Roman"/>
          <w:b/>
          <w:bCs/>
          <w:sz w:val="24"/>
          <w:szCs w:val="24"/>
        </w:rPr>
      </w:pPr>
    </w:p>
    <w:p w:rsidR="00884B0D" w:rsidP="00884B0D" w14:paraId="2D19949D" w14:textId="6C0A6EE7">
      <w:pPr>
        <w:ind w:left="360"/>
        <w:rPr>
          <w:rFonts w:ascii="Times New Roman" w:hAnsi="Times New Roman"/>
          <w:b/>
          <w:bCs/>
          <w:sz w:val="24"/>
          <w:szCs w:val="24"/>
        </w:rPr>
      </w:pPr>
      <w:r>
        <w:rPr>
          <w:rFonts w:ascii="Times New Roman" w:hAnsi="Times New Roman"/>
          <w:b/>
          <w:bCs/>
          <w:sz w:val="24"/>
          <w:szCs w:val="24"/>
        </w:rPr>
        <w:t>SUMMARY:</w:t>
      </w:r>
    </w:p>
    <w:p w:rsidR="00884B0D" w:rsidRPr="00801A55" w:rsidP="00884B0D" w14:paraId="17300E1E" w14:textId="42E05568">
      <w:pPr>
        <w:widowControl/>
        <w:tabs>
          <w:tab w:val="left" w:pos="450"/>
        </w:tabs>
        <w:ind w:left="360"/>
        <w:rPr>
          <w:rFonts w:ascii="Times New Roman" w:hAnsi="Times New Roman"/>
          <w:bCs/>
          <w:sz w:val="24"/>
          <w:szCs w:val="24"/>
        </w:rPr>
      </w:pPr>
      <w:r w:rsidRPr="00801A55">
        <w:rPr>
          <w:rFonts w:ascii="Times New Roman" w:hAnsi="Times New Roman"/>
          <w:b/>
          <w:bCs/>
          <w:sz w:val="24"/>
          <w:szCs w:val="24"/>
        </w:rPr>
        <w:t xml:space="preserve">Estimated Average Annual Number of Respondents: </w:t>
      </w:r>
      <w:r w:rsidR="00682AB9">
        <w:rPr>
          <w:rFonts w:ascii="Times New Roman" w:hAnsi="Times New Roman"/>
          <w:b/>
          <w:sz w:val="24"/>
          <w:szCs w:val="24"/>
        </w:rPr>
        <w:t>183,261</w:t>
      </w:r>
    </w:p>
    <w:p w:rsidR="00884B0D" w:rsidP="00884B0D" w14:paraId="299A65BF" w14:textId="12404C8C">
      <w:pPr>
        <w:widowControl/>
        <w:tabs>
          <w:tab w:val="left" w:pos="450"/>
        </w:tabs>
        <w:ind w:left="360"/>
        <w:rPr>
          <w:rFonts w:ascii="Times New Roman" w:hAnsi="Times New Roman"/>
          <w:b/>
          <w:bCs/>
          <w:sz w:val="24"/>
          <w:szCs w:val="24"/>
        </w:rPr>
      </w:pPr>
      <w:r w:rsidRPr="00801A55">
        <w:rPr>
          <w:rFonts w:ascii="Times New Roman" w:hAnsi="Times New Roman"/>
          <w:b/>
          <w:bCs/>
          <w:sz w:val="24"/>
          <w:szCs w:val="24"/>
        </w:rPr>
        <w:t xml:space="preserve">Estimated Average Annual Number of Responses: </w:t>
      </w:r>
      <w:r w:rsidR="00682AB9">
        <w:rPr>
          <w:rFonts w:ascii="Times New Roman" w:hAnsi="Times New Roman"/>
          <w:b/>
          <w:sz w:val="24"/>
          <w:szCs w:val="24"/>
        </w:rPr>
        <w:t>183,261</w:t>
      </w:r>
    </w:p>
    <w:p w:rsidR="00884B0D" w:rsidRPr="00801A55" w:rsidP="00884B0D" w14:paraId="525CDF7C" w14:textId="5C41D46F">
      <w:pPr>
        <w:widowControl/>
        <w:tabs>
          <w:tab w:val="left" w:pos="450"/>
        </w:tabs>
        <w:ind w:left="360"/>
        <w:rPr>
          <w:rFonts w:ascii="Times New Roman" w:hAnsi="Times New Roman"/>
          <w:bCs/>
          <w:sz w:val="24"/>
          <w:szCs w:val="24"/>
        </w:rPr>
      </w:pPr>
      <w:r w:rsidRPr="00801A55">
        <w:rPr>
          <w:rFonts w:ascii="Times New Roman" w:hAnsi="Times New Roman"/>
          <w:b/>
          <w:bCs/>
          <w:sz w:val="24"/>
          <w:szCs w:val="24"/>
        </w:rPr>
        <w:t xml:space="preserve">Estimated Average Annual Burden: </w:t>
      </w:r>
      <w:r w:rsidR="00145CB3">
        <w:rPr>
          <w:rFonts w:ascii="Times New Roman" w:hAnsi="Times New Roman"/>
          <w:b/>
          <w:sz w:val="24"/>
          <w:szCs w:val="24"/>
        </w:rPr>
        <w:t>245,569</w:t>
      </w:r>
    </w:p>
    <w:p w:rsidR="00884B0D" w:rsidRPr="00801A55" w:rsidP="005A7B6A" w14:paraId="233E29DA" w14:textId="01028079">
      <w:pPr>
        <w:widowControl/>
        <w:tabs>
          <w:tab w:val="left" w:pos="360"/>
        </w:tabs>
        <w:ind w:left="360"/>
        <w:rPr>
          <w:rFonts w:ascii="Times New Roman" w:hAnsi="Times New Roman"/>
          <w:bCs/>
          <w:sz w:val="24"/>
          <w:szCs w:val="24"/>
        </w:rPr>
      </w:pPr>
      <w:r w:rsidRPr="00801A55">
        <w:rPr>
          <w:rFonts w:ascii="Times New Roman" w:hAnsi="Times New Roman"/>
          <w:b/>
          <w:bCs/>
          <w:sz w:val="24"/>
          <w:szCs w:val="24"/>
        </w:rPr>
        <w:t>Estimated Average Annual Burden Hour Cost to Respondents</w:t>
      </w:r>
      <w:r w:rsidRPr="00801A55">
        <w:rPr>
          <w:rFonts w:ascii="Times New Roman" w:hAnsi="Times New Roman"/>
          <w:bCs/>
          <w:sz w:val="24"/>
          <w:szCs w:val="24"/>
        </w:rPr>
        <w:t xml:space="preserve">: </w:t>
      </w:r>
      <w:r w:rsidRPr="003326A4">
        <w:rPr>
          <w:rFonts w:ascii="Times New Roman" w:hAnsi="Times New Roman"/>
          <w:b/>
          <w:sz w:val="24"/>
          <w:szCs w:val="24"/>
        </w:rPr>
        <w:t>$</w:t>
      </w:r>
      <w:r w:rsidR="009965AC">
        <w:rPr>
          <w:rFonts w:ascii="Times New Roman" w:hAnsi="Times New Roman"/>
          <w:b/>
          <w:bCs/>
          <w:sz w:val="24"/>
          <w:szCs w:val="24"/>
        </w:rPr>
        <w:t>1</w:t>
      </w:r>
      <w:r w:rsidR="00F1375C">
        <w:rPr>
          <w:rFonts w:ascii="Times New Roman" w:hAnsi="Times New Roman"/>
          <w:b/>
          <w:bCs/>
          <w:sz w:val="24"/>
          <w:szCs w:val="24"/>
        </w:rPr>
        <w:t>3,174,361</w:t>
      </w:r>
    </w:p>
    <w:p w:rsidR="000E3F01" w:rsidP="003326A4" w14:paraId="2325BC39" w14:textId="77777777">
      <w:pPr>
        <w:ind w:left="360"/>
        <w:rPr>
          <w:rFonts w:ascii="Times New Roman" w:hAnsi="Times New Roman"/>
          <w:b/>
          <w:bCs/>
          <w:sz w:val="24"/>
          <w:szCs w:val="24"/>
        </w:rPr>
      </w:pPr>
    </w:p>
    <w:p w:rsidR="00E9142F" w:rsidRPr="00644586" w:rsidP="00E9142F" w14:paraId="0B9E231C" w14:textId="77777777">
      <w:pPr>
        <w:numPr>
          <w:ilvl w:val="0"/>
          <w:numId w:val="31"/>
        </w:numPr>
        <w:rPr>
          <w:rFonts w:ascii="Times New Roman" w:hAnsi="Times New Roman"/>
          <w:sz w:val="24"/>
          <w:szCs w:val="24"/>
        </w:rPr>
      </w:pPr>
      <w:r w:rsidRPr="00644586">
        <w:rPr>
          <w:rFonts w:ascii="Times New Roman" w:hAnsi="Times New Roman"/>
          <w:b/>
          <w:bCs/>
          <w:sz w:val="24"/>
          <w:szCs w:val="24"/>
        </w:rPr>
        <w:t>ESTIMATE OF TOTAL ANNUAL COSTS TO RESPONDENTS</w:t>
      </w:r>
    </w:p>
    <w:p w:rsidR="005A7B6A" w:rsidP="00A52B96" w14:paraId="6040716D" w14:textId="77777777">
      <w:pPr>
        <w:ind w:left="360"/>
        <w:rPr>
          <w:rFonts w:ascii="Times New Roman" w:hAnsi="Times New Roman"/>
          <w:sz w:val="24"/>
          <w:szCs w:val="24"/>
        </w:rPr>
      </w:pPr>
    </w:p>
    <w:p w:rsidR="00A52B96" w:rsidP="00A52B96" w14:paraId="5F1D4CE9" w14:textId="54EC1BD8">
      <w:pPr>
        <w:ind w:left="360"/>
        <w:rPr>
          <w:rFonts w:ascii="Times New Roman" w:hAnsi="Times New Roman"/>
          <w:sz w:val="24"/>
          <w:szCs w:val="24"/>
        </w:rPr>
      </w:pPr>
      <w:r>
        <w:rPr>
          <w:rFonts w:ascii="Times New Roman" w:hAnsi="Times New Roman"/>
          <w:sz w:val="24"/>
          <w:szCs w:val="24"/>
        </w:rPr>
        <w:t xml:space="preserve">Motor carriers applying for initial authority via Form MCSA-1 in URS are required to pay a one-time form filing fee of $300. </w:t>
      </w:r>
      <w:r w:rsidRPr="00644586">
        <w:rPr>
          <w:rFonts w:ascii="Times New Roman" w:hAnsi="Times New Roman"/>
          <w:sz w:val="24"/>
          <w:szCs w:val="24"/>
        </w:rPr>
        <w:t>Estimated</w:t>
      </w:r>
      <w:r>
        <w:rPr>
          <w:rFonts w:ascii="Times New Roman" w:hAnsi="Times New Roman"/>
          <w:sz w:val="24"/>
          <w:szCs w:val="24"/>
        </w:rPr>
        <w:t xml:space="preserve"> industry</w:t>
      </w:r>
      <w:r w:rsidRPr="00644586">
        <w:rPr>
          <w:rFonts w:ascii="Times New Roman" w:hAnsi="Times New Roman"/>
          <w:sz w:val="24"/>
          <w:szCs w:val="24"/>
        </w:rPr>
        <w:t xml:space="preserve"> filing </w:t>
      </w:r>
      <w:r>
        <w:rPr>
          <w:rFonts w:ascii="Times New Roman" w:hAnsi="Times New Roman"/>
          <w:sz w:val="24"/>
          <w:szCs w:val="24"/>
        </w:rPr>
        <w:t xml:space="preserve">fee costs associated with </w:t>
      </w:r>
      <w:r w:rsidRPr="00644586">
        <w:rPr>
          <w:rFonts w:ascii="Times New Roman" w:hAnsi="Times New Roman"/>
          <w:sz w:val="24"/>
          <w:szCs w:val="24"/>
        </w:rPr>
        <w:t xml:space="preserve">Form MCSA-1 are presented in </w:t>
      </w: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_Ref16246966 \h  \* MERGEFORMAT </w:instrText>
      </w:r>
      <w:r w:rsidRPr="00644586">
        <w:rPr>
          <w:rFonts w:ascii="Times New Roman" w:hAnsi="Times New Roman"/>
          <w:sz w:val="24"/>
          <w:szCs w:val="24"/>
        </w:rPr>
        <w:fldChar w:fldCharType="separate"/>
      </w:r>
      <w:r w:rsidRPr="00D9369E" w:rsidR="00D9369E">
        <w:rPr>
          <w:rFonts w:ascii="Times New Roman" w:hAnsi="Times New Roman"/>
          <w:sz w:val="24"/>
          <w:szCs w:val="24"/>
        </w:rPr>
        <w:t>Table 4</w:t>
      </w:r>
      <w:r w:rsidRPr="00644586">
        <w:rPr>
          <w:rFonts w:ascii="Times New Roman" w:hAnsi="Times New Roman"/>
          <w:sz w:val="24"/>
          <w:szCs w:val="24"/>
        </w:rPr>
        <w:fldChar w:fldCharType="end"/>
      </w:r>
      <w:r w:rsidRPr="00644586">
        <w:rPr>
          <w:rFonts w:ascii="Times New Roman" w:hAnsi="Times New Roman"/>
          <w:sz w:val="24"/>
          <w:szCs w:val="24"/>
        </w:rPr>
        <w:t>.</w:t>
      </w:r>
      <w:bookmarkStart w:id="8" w:name="_Ref16246966"/>
    </w:p>
    <w:p w:rsidR="008556B3" w:rsidP="005A7B6A" w14:paraId="11F34F7A" w14:textId="77777777">
      <w:pPr>
        <w:keepNext/>
        <w:jc w:val="center"/>
        <w:rPr>
          <w:rFonts w:ascii="Times New Roman" w:hAnsi="Times New Roman"/>
          <w:b/>
          <w:sz w:val="24"/>
          <w:szCs w:val="24"/>
        </w:rPr>
      </w:pPr>
    </w:p>
    <w:p w:rsidR="00E9142F" w:rsidP="005A7B6A" w14:paraId="61F6EBC4" w14:textId="114F21FC">
      <w:pPr>
        <w:keepNext/>
        <w:jc w:val="center"/>
        <w:rPr>
          <w:rFonts w:ascii="Times New Roman" w:hAnsi="Times New Roman"/>
          <w:b/>
          <w:sz w:val="24"/>
          <w:szCs w:val="24"/>
        </w:rPr>
      </w:pPr>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4</w:t>
      </w:r>
      <w:r w:rsidRPr="00644586">
        <w:rPr>
          <w:rFonts w:ascii="Times New Roman" w:hAnsi="Times New Roman"/>
          <w:b/>
          <w:sz w:val="24"/>
          <w:szCs w:val="24"/>
        </w:rPr>
        <w:fldChar w:fldCharType="end"/>
      </w:r>
      <w:bookmarkEnd w:id="8"/>
      <w:r w:rsidRPr="00644586">
        <w:rPr>
          <w:rFonts w:ascii="Times New Roman" w:hAnsi="Times New Roman"/>
          <w:b/>
          <w:sz w:val="24"/>
          <w:szCs w:val="24"/>
        </w:rPr>
        <w:t xml:space="preserve">. Estimated </w:t>
      </w:r>
      <w:r>
        <w:rPr>
          <w:rFonts w:ascii="Times New Roman" w:hAnsi="Times New Roman"/>
          <w:b/>
          <w:sz w:val="24"/>
          <w:szCs w:val="24"/>
        </w:rPr>
        <w:t>filing fee</w:t>
      </w:r>
      <w:r w:rsidRPr="00644586">
        <w:rPr>
          <w:rFonts w:ascii="Times New Roman" w:hAnsi="Times New Roman"/>
          <w:b/>
          <w:sz w:val="24"/>
          <w:szCs w:val="24"/>
        </w:rPr>
        <w:t xml:space="preserve"> costs</w:t>
      </w:r>
      <w:r>
        <w:rPr>
          <w:rFonts w:ascii="Times New Roman" w:hAnsi="Times New Roman"/>
          <w:b/>
          <w:sz w:val="24"/>
          <w:szCs w:val="24"/>
        </w:rPr>
        <w:t xml:space="preserve"> to respondents for calendar years 202</w:t>
      </w:r>
      <w:r w:rsidR="0003715A">
        <w:rPr>
          <w:rFonts w:ascii="Times New Roman" w:hAnsi="Times New Roman"/>
          <w:b/>
          <w:sz w:val="24"/>
          <w:szCs w:val="24"/>
        </w:rPr>
        <w:t>6</w:t>
      </w:r>
      <w:r>
        <w:rPr>
          <w:rFonts w:ascii="Times New Roman" w:hAnsi="Times New Roman"/>
          <w:b/>
          <w:sz w:val="24"/>
          <w:szCs w:val="24"/>
        </w:rPr>
        <w:t>-</w:t>
      </w:r>
      <w:r w:rsidR="00093E87">
        <w:rPr>
          <w:rFonts w:ascii="Times New Roman" w:hAnsi="Times New Roman"/>
          <w:b/>
          <w:sz w:val="24"/>
          <w:szCs w:val="24"/>
        </w:rPr>
        <w:t>20</w:t>
      </w:r>
      <w:r>
        <w:rPr>
          <w:rFonts w:ascii="Times New Roman" w:hAnsi="Times New Roman"/>
          <w:b/>
          <w:sz w:val="24"/>
          <w:szCs w:val="24"/>
        </w:rPr>
        <w:t>2</w:t>
      </w:r>
      <w:r w:rsidR="0003715A">
        <w:rPr>
          <w:rFonts w:ascii="Times New Roman" w:hAnsi="Times New Roman"/>
          <w:b/>
          <w:sz w:val="24"/>
          <w:szCs w:val="24"/>
        </w:rPr>
        <w:t>8</w:t>
      </w:r>
    </w:p>
    <w:p w:rsidR="005A7B6A" w:rsidRPr="00644586" w:rsidP="005A7B6A" w14:paraId="3EEB2408" w14:textId="77777777">
      <w:pPr>
        <w:keepNext/>
        <w:jc w:val="center"/>
        <w:rPr>
          <w:rFonts w:ascii="Times New Roman" w:hAnsi="Times New Roman"/>
          <w:b/>
          <w:sz w:val="24"/>
          <w:szCs w:val="24"/>
        </w:rPr>
      </w:pPr>
    </w:p>
    <w:tbl>
      <w:tblPr>
        <w:tblW w:w="7938" w:type="dxa"/>
        <w:tblInd w:w="602" w:type="dxa"/>
        <w:tblLook w:val="04A0"/>
      </w:tblPr>
      <w:tblGrid>
        <w:gridCol w:w="1818"/>
        <w:gridCol w:w="2070"/>
        <w:gridCol w:w="1800"/>
        <w:gridCol w:w="2250"/>
      </w:tblGrid>
      <w:tr w14:paraId="08EF04B5" w14:textId="77777777" w:rsidTr="0A2E9F2C">
        <w:tblPrEx>
          <w:tblW w:w="7938" w:type="dxa"/>
          <w:tblInd w:w="602" w:type="dxa"/>
          <w:tblLook w:val="04A0"/>
        </w:tblPrEx>
        <w:trPr>
          <w:trHeight w:val="610"/>
        </w:trPr>
        <w:tc>
          <w:tcPr>
            <w:tcW w:w="181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rsidR="001E50DD" w:rsidRPr="001E50DD" w:rsidP="001E50DD" w14:paraId="5CB77331" w14:textId="77777777">
            <w:pPr>
              <w:widowControl/>
              <w:autoSpaceDE/>
              <w:autoSpaceDN/>
              <w:adjustRightInd/>
              <w:jc w:val="center"/>
              <w:rPr>
                <w:rFonts w:ascii="Times New Roman" w:hAnsi="Times New Roman"/>
                <w:b/>
                <w:bCs/>
                <w:color w:val="000000"/>
                <w:sz w:val="24"/>
                <w:szCs w:val="24"/>
              </w:rPr>
            </w:pPr>
            <w:r w:rsidRPr="001E50DD">
              <w:rPr>
                <w:rFonts w:ascii="Times New Roman" w:hAnsi="Times New Roman"/>
                <w:b/>
                <w:bCs/>
                <w:color w:val="000000"/>
                <w:sz w:val="24"/>
                <w:szCs w:val="24"/>
              </w:rPr>
              <w:t>Year</w:t>
            </w:r>
          </w:p>
        </w:tc>
        <w:tc>
          <w:tcPr>
            <w:tcW w:w="2070" w:type="dxa"/>
            <w:tcBorders>
              <w:top w:val="single" w:sz="8" w:space="0" w:color="auto"/>
              <w:left w:val="nil"/>
              <w:bottom w:val="single" w:sz="8" w:space="0" w:color="auto"/>
              <w:right w:val="single" w:sz="8" w:space="0" w:color="auto"/>
            </w:tcBorders>
            <w:shd w:val="clear" w:color="auto" w:fill="F2F2F2" w:themeFill="background1" w:themeFillShade="F2"/>
            <w:noWrap/>
            <w:vAlign w:val="center"/>
            <w:hideMark/>
          </w:tcPr>
          <w:p w:rsidR="001E50DD" w:rsidRPr="001E50DD" w:rsidP="001E50DD" w14:paraId="04CB0994" w14:textId="77777777">
            <w:pPr>
              <w:widowControl/>
              <w:autoSpaceDE/>
              <w:autoSpaceDN/>
              <w:adjustRightInd/>
              <w:jc w:val="center"/>
              <w:rPr>
                <w:rFonts w:ascii="Times New Roman" w:hAnsi="Times New Roman"/>
                <w:b/>
                <w:bCs/>
                <w:color w:val="000000"/>
                <w:sz w:val="24"/>
                <w:szCs w:val="24"/>
              </w:rPr>
            </w:pPr>
            <w:r w:rsidRPr="001E50DD">
              <w:rPr>
                <w:rFonts w:ascii="Times New Roman" w:hAnsi="Times New Roman"/>
                <w:b/>
                <w:bCs/>
                <w:color w:val="000000"/>
                <w:sz w:val="24"/>
                <w:szCs w:val="24"/>
              </w:rPr>
              <w:t>Respondents</w:t>
            </w:r>
          </w:p>
        </w:tc>
        <w:tc>
          <w:tcPr>
            <w:tcW w:w="180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1E50DD" w:rsidRPr="001E50DD" w:rsidP="001E50DD" w14:paraId="7C3B2005" w14:textId="77777777">
            <w:pPr>
              <w:widowControl/>
              <w:autoSpaceDE/>
              <w:autoSpaceDN/>
              <w:adjustRightInd/>
              <w:jc w:val="center"/>
              <w:rPr>
                <w:rFonts w:ascii="Times New Roman" w:hAnsi="Times New Roman"/>
                <w:b/>
                <w:bCs/>
                <w:color w:val="000000"/>
                <w:sz w:val="24"/>
                <w:szCs w:val="24"/>
              </w:rPr>
            </w:pPr>
            <w:r w:rsidRPr="001E50DD">
              <w:rPr>
                <w:rFonts w:ascii="Times New Roman" w:hAnsi="Times New Roman"/>
                <w:b/>
                <w:bCs/>
                <w:color w:val="000000"/>
                <w:sz w:val="24"/>
                <w:szCs w:val="24"/>
              </w:rPr>
              <w:t>Form Filing Fee</w:t>
            </w:r>
          </w:p>
        </w:tc>
        <w:tc>
          <w:tcPr>
            <w:tcW w:w="225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1E50DD" w:rsidRPr="001E50DD" w:rsidP="001E50DD" w14:paraId="034854EF" w14:textId="77777777">
            <w:pPr>
              <w:widowControl/>
              <w:autoSpaceDE/>
              <w:autoSpaceDN/>
              <w:adjustRightInd/>
              <w:jc w:val="center"/>
              <w:rPr>
                <w:rFonts w:ascii="Times New Roman" w:hAnsi="Times New Roman"/>
                <w:b/>
                <w:bCs/>
                <w:color w:val="000000"/>
                <w:sz w:val="24"/>
                <w:szCs w:val="24"/>
              </w:rPr>
            </w:pPr>
            <w:r w:rsidRPr="001E50DD">
              <w:rPr>
                <w:rFonts w:ascii="Times New Roman" w:hAnsi="Times New Roman"/>
                <w:b/>
                <w:bCs/>
                <w:color w:val="000000"/>
                <w:sz w:val="24"/>
                <w:szCs w:val="24"/>
              </w:rPr>
              <w:t>Total Fee Cost to Respondents</w:t>
            </w:r>
          </w:p>
        </w:tc>
      </w:tr>
      <w:tr w14:paraId="45A8E14C" w14:textId="77777777" w:rsidTr="0A2E9F2C">
        <w:tblPrEx>
          <w:tblW w:w="7938" w:type="dxa"/>
          <w:tblInd w:w="602" w:type="dxa"/>
          <w:tblLook w:val="04A0"/>
        </w:tblPrEx>
        <w:trPr>
          <w:trHeight w:val="320"/>
        </w:trPr>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03715A" w:rsidRPr="0003715A" w:rsidP="0003715A" w14:paraId="549449DB" w14:textId="23D77CCB">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2026</w:t>
            </w:r>
          </w:p>
        </w:tc>
        <w:tc>
          <w:tcPr>
            <w:tcW w:w="2070" w:type="dxa"/>
            <w:tcBorders>
              <w:top w:val="nil"/>
              <w:left w:val="nil"/>
              <w:bottom w:val="single" w:sz="8" w:space="0" w:color="auto"/>
              <w:right w:val="single" w:sz="8" w:space="0" w:color="auto"/>
            </w:tcBorders>
            <w:shd w:val="clear" w:color="auto" w:fill="auto"/>
            <w:noWrap/>
            <w:vAlign w:val="center"/>
            <w:hideMark/>
          </w:tcPr>
          <w:p w:rsidR="0003715A" w:rsidRPr="0003715A" w:rsidP="0003715A" w14:paraId="57E22692" w14:textId="1CDB2CB9">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800" w:type="dxa"/>
            <w:tcBorders>
              <w:top w:val="nil"/>
              <w:left w:val="nil"/>
              <w:bottom w:val="single" w:sz="8" w:space="0" w:color="auto"/>
              <w:right w:val="single" w:sz="8" w:space="0" w:color="auto"/>
            </w:tcBorders>
            <w:shd w:val="clear" w:color="auto" w:fill="auto"/>
            <w:vAlign w:val="center"/>
            <w:hideMark/>
          </w:tcPr>
          <w:p w:rsidR="0003715A" w:rsidRPr="0003715A" w:rsidP="005A7B6A" w14:paraId="19EE9FA9" w14:textId="664BAE8E">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$300.00</w:t>
            </w:r>
          </w:p>
        </w:tc>
        <w:tc>
          <w:tcPr>
            <w:tcW w:w="2250" w:type="dxa"/>
            <w:tcBorders>
              <w:top w:val="nil"/>
              <w:left w:val="nil"/>
              <w:bottom w:val="single" w:sz="8" w:space="0" w:color="auto"/>
              <w:right w:val="single" w:sz="8" w:space="0" w:color="auto"/>
            </w:tcBorders>
            <w:shd w:val="clear" w:color="auto" w:fill="auto"/>
            <w:vAlign w:val="center"/>
            <w:hideMark/>
          </w:tcPr>
          <w:p w:rsidR="0003715A" w:rsidRPr="0003715A" w:rsidP="005A7B6A" w14:paraId="726FCA18" w14:textId="6138F869">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$54,978,200</w:t>
            </w:r>
          </w:p>
        </w:tc>
      </w:tr>
      <w:tr w14:paraId="397D06DB" w14:textId="77777777" w:rsidTr="0A2E9F2C">
        <w:tblPrEx>
          <w:tblW w:w="7938" w:type="dxa"/>
          <w:tblInd w:w="602" w:type="dxa"/>
          <w:tblLook w:val="04A0"/>
        </w:tblPrEx>
        <w:trPr>
          <w:trHeight w:val="320"/>
        </w:trPr>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03715A" w:rsidRPr="0003715A" w:rsidP="0003715A" w14:paraId="7AD7EDB5" w14:textId="2E2ADFC5">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2027</w:t>
            </w:r>
          </w:p>
        </w:tc>
        <w:tc>
          <w:tcPr>
            <w:tcW w:w="2070" w:type="dxa"/>
            <w:tcBorders>
              <w:top w:val="nil"/>
              <w:left w:val="nil"/>
              <w:bottom w:val="single" w:sz="8" w:space="0" w:color="auto"/>
              <w:right w:val="single" w:sz="8" w:space="0" w:color="auto"/>
            </w:tcBorders>
            <w:shd w:val="clear" w:color="auto" w:fill="auto"/>
            <w:noWrap/>
            <w:vAlign w:val="center"/>
            <w:hideMark/>
          </w:tcPr>
          <w:p w:rsidR="0003715A" w:rsidRPr="0003715A" w:rsidP="0003715A" w14:paraId="48C7356F" w14:textId="3DD75A9D">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800" w:type="dxa"/>
            <w:tcBorders>
              <w:top w:val="nil"/>
              <w:left w:val="nil"/>
              <w:bottom w:val="single" w:sz="8" w:space="0" w:color="auto"/>
              <w:right w:val="single" w:sz="8" w:space="0" w:color="auto"/>
            </w:tcBorders>
            <w:shd w:val="clear" w:color="auto" w:fill="auto"/>
            <w:vAlign w:val="center"/>
            <w:hideMark/>
          </w:tcPr>
          <w:p w:rsidR="0003715A" w:rsidRPr="0003715A" w:rsidP="005A7B6A" w14:paraId="1D59C6C2" w14:textId="00745A34">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$300.00</w:t>
            </w:r>
          </w:p>
        </w:tc>
        <w:tc>
          <w:tcPr>
            <w:tcW w:w="2250" w:type="dxa"/>
            <w:tcBorders>
              <w:top w:val="nil"/>
              <w:left w:val="nil"/>
              <w:bottom w:val="single" w:sz="8" w:space="0" w:color="auto"/>
              <w:right w:val="single" w:sz="8" w:space="0" w:color="auto"/>
            </w:tcBorders>
            <w:shd w:val="clear" w:color="auto" w:fill="auto"/>
            <w:vAlign w:val="center"/>
            <w:hideMark/>
          </w:tcPr>
          <w:p w:rsidR="0003715A" w:rsidRPr="0003715A" w:rsidP="005A7B6A" w14:paraId="182AB561" w14:textId="619EBBBB">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$54,978,200</w:t>
            </w:r>
          </w:p>
        </w:tc>
      </w:tr>
      <w:tr w14:paraId="4A831E02" w14:textId="77777777" w:rsidTr="0A2E9F2C">
        <w:tblPrEx>
          <w:tblW w:w="7938" w:type="dxa"/>
          <w:tblInd w:w="602" w:type="dxa"/>
          <w:tblLook w:val="04A0"/>
        </w:tblPrEx>
        <w:trPr>
          <w:trHeight w:val="320"/>
        </w:trPr>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03715A" w:rsidRPr="0003715A" w:rsidP="0003715A" w14:paraId="0C7CD761" w14:textId="74FAD28A">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2028</w:t>
            </w:r>
          </w:p>
        </w:tc>
        <w:tc>
          <w:tcPr>
            <w:tcW w:w="2070" w:type="dxa"/>
            <w:tcBorders>
              <w:top w:val="nil"/>
              <w:left w:val="nil"/>
              <w:bottom w:val="single" w:sz="8" w:space="0" w:color="auto"/>
              <w:right w:val="single" w:sz="8" w:space="0" w:color="auto"/>
            </w:tcBorders>
            <w:shd w:val="clear" w:color="auto" w:fill="auto"/>
            <w:noWrap/>
            <w:vAlign w:val="center"/>
            <w:hideMark/>
          </w:tcPr>
          <w:p w:rsidR="0003715A" w:rsidRPr="0003715A" w:rsidP="0003715A" w14:paraId="2C5F5338" w14:textId="556BFF3A">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800" w:type="dxa"/>
            <w:tcBorders>
              <w:top w:val="nil"/>
              <w:left w:val="nil"/>
              <w:bottom w:val="single" w:sz="8" w:space="0" w:color="auto"/>
              <w:right w:val="single" w:sz="8" w:space="0" w:color="auto"/>
            </w:tcBorders>
            <w:shd w:val="clear" w:color="auto" w:fill="auto"/>
            <w:vAlign w:val="center"/>
            <w:hideMark/>
          </w:tcPr>
          <w:p w:rsidR="0003715A" w:rsidRPr="0003715A" w:rsidP="005A7B6A" w14:paraId="600860E9" w14:textId="0AB51D7D">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$300.00</w:t>
            </w:r>
          </w:p>
        </w:tc>
        <w:tc>
          <w:tcPr>
            <w:tcW w:w="2250" w:type="dxa"/>
            <w:tcBorders>
              <w:top w:val="nil"/>
              <w:left w:val="nil"/>
              <w:bottom w:val="single" w:sz="8" w:space="0" w:color="auto"/>
              <w:right w:val="single" w:sz="8" w:space="0" w:color="auto"/>
            </w:tcBorders>
            <w:shd w:val="clear" w:color="auto" w:fill="auto"/>
            <w:vAlign w:val="center"/>
            <w:hideMark/>
          </w:tcPr>
          <w:p w:rsidR="0003715A" w:rsidRPr="0003715A" w:rsidP="005A7B6A" w14:paraId="3C7AB51E" w14:textId="2194E687">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$54,978,200</w:t>
            </w:r>
          </w:p>
        </w:tc>
      </w:tr>
      <w:tr w14:paraId="39DC7AA5" w14:textId="77777777" w:rsidTr="0A2E9F2C">
        <w:tblPrEx>
          <w:tblW w:w="7938" w:type="dxa"/>
          <w:tblInd w:w="602" w:type="dxa"/>
          <w:tblLook w:val="04A0"/>
        </w:tblPrEx>
        <w:trPr>
          <w:trHeight w:val="320"/>
        </w:trPr>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03715A" w:rsidRPr="00DD3872" w:rsidP="0A2E9F2C" w14:paraId="232311F6" w14:textId="2FE181D4">
            <w:pPr>
              <w:widowControl/>
              <w:autoSpaceDE/>
              <w:autoSpaceDN/>
              <w:adjustRightInd/>
              <w:jc w:val="right"/>
              <w:rPr>
                <w:rFonts w:ascii="Times New Roman" w:hAnsi="Times New Roman"/>
                <w:color w:val="000000"/>
                <w:sz w:val="24"/>
                <w:szCs w:val="24"/>
              </w:rPr>
            </w:pPr>
            <w:r w:rsidRPr="00DD3872">
              <w:rPr>
                <w:rFonts w:ascii="Times New Roman" w:hAnsi="Times New Roman"/>
                <w:color w:val="000000" w:themeColor="text1"/>
                <w:sz w:val="24"/>
                <w:szCs w:val="24"/>
              </w:rPr>
              <w:t>Total</w:t>
            </w:r>
          </w:p>
        </w:tc>
        <w:tc>
          <w:tcPr>
            <w:tcW w:w="2070" w:type="dxa"/>
            <w:tcBorders>
              <w:top w:val="nil"/>
              <w:left w:val="nil"/>
              <w:bottom w:val="single" w:sz="8" w:space="0" w:color="auto"/>
              <w:right w:val="single" w:sz="8" w:space="0" w:color="auto"/>
            </w:tcBorders>
            <w:shd w:val="clear" w:color="auto" w:fill="auto"/>
            <w:noWrap/>
            <w:vAlign w:val="center"/>
            <w:hideMark/>
          </w:tcPr>
          <w:p w:rsidR="0003715A" w:rsidRPr="00DD3872" w:rsidP="0A2E9F2C" w14:paraId="1374DF0A" w14:textId="793E5D0E">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549,782</w:t>
            </w:r>
          </w:p>
        </w:tc>
        <w:tc>
          <w:tcPr>
            <w:tcW w:w="1800" w:type="dxa"/>
            <w:tcBorders>
              <w:top w:val="nil"/>
              <w:left w:val="nil"/>
              <w:bottom w:val="single" w:sz="8" w:space="0" w:color="auto"/>
              <w:right w:val="single" w:sz="8" w:space="0" w:color="auto"/>
            </w:tcBorders>
            <w:shd w:val="clear" w:color="auto" w:fill="auto"/>
            <w:vAlign w:val="center"/>
            <w:hideMark/>
          </w:tcPr>
          <w:p w:rsidR="0003715A" w:rsidRPr="00DD3872" w:rsidP="0A2E9F2C" w14:paraId="059D3FDA" w14:textId="6884E762">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w:t>
            </w:r>
          </w:p>
        </w:tc>
        <w:tc>
          <w:tcPr>
            <w:tcW w:w="2250" w:type="dxa"/>
            <w:tcBorders>
              <w:top w:val="nil"/>
              <w:left w:val="nil"/>
              <w:bottom w:val="single" w:sz="8" w:space="0" w:color="auto"/>
              <w:right w:val="single" w:sz="8" w:space="0" w:color="auto"/>
            </w:tcBorders>
            <w:shd w:val="clear" w:color="auto" w:fill="auto"/>
            <w:vAlign w:val="center"/>
            <w:hideMark/>
          </w:tcPr>
          <w:p w:rsidR="0003715A" w:rsidRPr="00DD3872" w:rsidP="0A2E9F2C" w14:paraId="7CA75107" w14:textId="685C8A9A">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themeColor="text1"/>
                <w:sz w:val="24"/>
                <w:szCs w:val="24"/>
              </w:rPr>
              <w:t>$164,934,600</w:t>
            </w:r>
          </w:p>
        </w:tc>
      </w:tr>
      <w:tr w14:paraId="021EE914" w14:textId="77777777" w:rsidTr="0A2E9F2C">
        <w:tblPrEx>
          <w:tblW w:w="7938" w:type="dxa"/>
          <w:tblInd w:w="602" w:type="dxa"/>
          <w:tblLook w:val="04A0"/>
        </w:tblPrEx>
        <w:trPr>
          <w:trHeight w:val="320"/>
        </w:trPr>
        <w:tc>
          <w:tcPr>
            <w:tcW w:w="1818" w:type="dxa"/>
            <w:tcBorders>
              <w:top w:val="nil"/>
              <w:left w:val="single" w:sz="8" w:space="0" w:color="auto"/>
              <w:bottom w:val="single" w:sz="8" w:space="0" w:color="auto"/>
              <w:right w:val="single" w:sz="8" w:space="0" w:color="auto"/>
            </w:tcBorders>
            <w:shd w:val="clear" w:color="auto" w:fill="auto"/>
            <w:noWrap/>
            <w:vAlign w:val="center"/>
            <w:hideMark/>
          </w:tcPr>
          <w:p w:rsidR="0003715A" w:rsidRPr="00DD3872" w:rsidP="0A2E9F2C" w14:paraId="5A59E495" w14:textId="1327DB6A">
            <w:pPr>
              <w:widowControl/>
              <w:autoSpaceDE/>
              <w:autoSpaceDN/>
              <w:adjustRightInd/>
              <w:jc w:val="right"/>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Annual Average</w:t>
            </w:r>
          </w:p>
        </w:tc>
        <w:tc>
          <w:tcPr>
            <w:tcW w:w="2070" w:type="dxa"/>
            <w:tcBorders>
              <w:top w:val="nil"/>
              <w:left w:val="nil"/>
              <w:bottom w:val="single" w:sz="8" w:space="0" w:color="auto"/>
              <w:right w:val="single" w:sz="8" w:space="0" w:color="auto"/>
            </w:tcBorders>
            <w:shd w:val="clear" w:color="auto" w:fill="auto"/>
            <w:noWrap/>
            <w:vAlign w:val="center"/>
            <w:hideMark/>
          </w:tcPr>
          <w:p w:rsidR="0003715A" w:rsidRPr="00DD3872" w:rsidP="0A2E9F2C" w14:paraId="45A2FD66" w14:textId="7B192EB9">
            <w:pPr>
              <w:widowControl/>
              <w:autoSpaceDE/>
              <w:autoSpaceDN/>
              <w:adjustRightInd/>
              <w:jc w:val="center"/>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183,261</w:t>
            </w:r>
          </w:p>
        </w:tc>
        <w:tc>
          <w:tcPr>
            <w:tcW w:w="1800" w:type="dxa"/>
            <w:tcBorders>
              <w:top w:val="nil"/>
              <w:left w:val="nil"/>
              <w:bottom w:val="single" w:sz="8" w:space="0" w:color="auto"/>
              <w:right w:val="single" w:sz="8" w:space="0" w:color="auto"/>
            </w:tcBorders>
            <w:shd w:val="clear" w:color="auto" w:fill="auto"/>
            <w:vAlign w:val="center"/>
            <w:hideMark/>
          </w:tcPr>
          <w:p w:rsidR="0003715A" w:rsidRPr="0003715A" w:rsidP="005A7B6A" w14:paraId="18E000A8" w14:textId="10225869">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w:t>
            </w:r>
          </w:p>
        </w:tc>
        <w:tc>
          <w:tcPr>
            <w:tcW w:w="2250" w:type="dxa"/>
            <w:tcBorders>
              <w:top w:val="nil"/>
              <w:left w:val="nil"/>
              <w:bottom w:val="single" w:sz="8" w:space="0" w:color="auto"/>
              <w:right w:val="single" w:sz="8" w:space="0" w:color="auto"/>
            </w:tcBorders>
            <w:shd w:val="clear" w:color="auto" w:fill="auto"/>
            <w:vAlign w:val="center"/>
            <w:hideMark/>
          </w:tcPr>
          <w:p w:rsidR="0003715A" w:rsidRPr="00DD3872" w:rsidP="0A2E9F2C" w14:paraId="6485F543" w14:textId="413E33AD">
            <w:pPr>
              <w:widowControl/>
              <w:autoSpaceDE/>
              <w:autoSpaceDN/>
              <w:adjustRightInd/>
              <w:jc w:val="center"/>
              <w:rPr>
                <w:rFonts w:ascii="Times New Roman" w:hAnsi="Times New Roman"/>
                <w:b/>
                <w:bCs/>
                <w:i/>
                <w:iCs/>
                <w:color w:val="000000"/>
                <w:sz w:val="24"/>
                <w:szCs w:val="24"/>
              </w:rPr>
            </w:pPr>
            <w:r w:rsidRPr="00DD3872">
              <w:rPr>
                <w:rFonts w:ascii="Times New Roman" w:hAnsi="Times New Roman"/>
                <w:b/>
                <w:bCs/>
                <w:i/>
                <w:iCs/>
                <w:color w:val="000000" w:themeColor="text1"/>
                <w:sz w:val="24"/>
                <w:szCs w:val="24"/>
              </w:rPr>
              <w:t>$54,978,200</w:t>
            </w:r>
          </w:p>
        </w:tc>
      </w:tr>
    </w:tbl>
    <w:p w:rsidR="00E9142F" w:rsidRPr="00F07F13" w:rsidP="00697D42" w14:paraId="771F421A" w14:textId="77777777">
      <w:pPr>
        <w:tabs>
          <w:tab w:val="left" w:pos="5325"/>
        </w:tabs>
        <w:rPr>
          <w:rFonts w:ascii="Times New Roman" w:hAnsi="Times New Roman"/>
          <w:sz w:val="24"/>
          <w:szCs w:val="24"/>
        </w:rPr>
      </w:pPr>
    </w:p>
    <w:p w:rsidR="00093E87" w:rsidP="00697D42" w14:paraId="0A46A200" w14:textId="57966502">
      <w:pPr>
        <w:tabs>
          <w:tab w:val="left" w:pos="-1440"/>
          <w:tab w:val="left" w:pos="-720"/>
        </w:tabs>
        <w:ind w:left="360"/>
        <w:rPr>
          <w:rFonts w:ascii="Times New Roman" w:hAnsi="Times New Roman"/>
          <w:sz w:val="24"/>
          <w:szCs w:val="24"/>
        </w:rPr>
      </w:pPr>
      <w:r w:rsidRPr="00560C07">
        <w:rPr>
          <w:rFonts w:ascii="Times New Roman" w:hAnsi="Times New Roman"/>
          <w:b/>
          <w:bCs/>
          <w:sz w:val="24"/>
          <w:szCs w:val="24"/>
        </w:rPr>
        <w:t xml:space="preserve">The total estimated </w:t>
      </w:r>
      <w:r>
        <w:rPr>
          <w:rFonts w:ascii="Times New Roman" w:hAnsi="Times New Roman"/>
          <w:b/>
          <w:bCs/>
          <w:sz w:val="24"/>
          <w:szCs w:val="24"/>
        </w:rPr>
        <w:t>MCSA filing cost</w:t>
      </w:r>
      <w:r w:rsidRPr="00560C07">
        <w:rPr>
          <w:rFonts w:ascii="Times New Roman" w:hAnsi="Times New Roman"/>
          <w:b/>
          <w:bCs/>
          <w:sz w:val="24"/>
          <w:szCs w:val="24"/>
        </w:rPr>
        <w:t xml:space="preserve"> </w:t>
      </w:r>
      <w:r>
        <w:rPr>
          <w:rFonts w:ascii="Times New Roman" w:hAnsi="Times New Roman"/>
          <w:b/>
          <w:bCs/>
          <w:sz w:val="24"/>
          <w:szCs w:val="24"/>
        </w:rPr>
        <w:t xml:space="preserve">to respondents </w:t>
      </w:r>
      <w:r w:rsidRPr="00560C07">
        <w:rPr>
          <w:rFonts w:ascii="Times New Roman" w:hAnsi="Times New Roman"/>
          <w:b/>
          <w:bCs/>
          <w:sz w:val="24"/>
          <w:szCs w:val="24"/>
        </w:rPr>
        <w:t>is $</w:t>
      </w:r>
      <w:r w:rsidR="00545B01">
        <w:rPr>
          <w:rFonts w:ascii="Times New Roman" w:hAnsi="Times New Roman"/>
          <w:b/>
          <w:bCs/>
          <w:sz w:val="24"/>
          <w:szCs w:val="24"/>
        </w:rPr>
        <w:t>164,934,600</w:t>
      </w:r>
      <w:r>
        <w:rPr>
          <w:rFonts w:ascii="Times New Roman" w:hAnsi="Times New Roman"/>
          <w:sz w:val="24"/>
          <w:szCs w:val="24"/>
        </w:rPr>
        <w:t xml:space="preserve"> [</w:t>
      </w:r>
      <w:r w:rsidR="00545B01">
        <w:rPr>
          <w:rFonts w:ascii="Times New Roman" w:hAnsi="Times New Roman"/>
          <w:sz w:val="24"/>
          <w:szCs w:val="24"/>
        </w:rPr>
        <w:t>549,782</w:t>
      </w:r>
      <w:r>
        <w:rPr>
          <w:rFonts w:ascii="Times New Roman" w:hAnsi="Times New Roman"/>
          <w:sz w:val="24"/>
          <w:szCs w:val="24"/>
        </w:rPr>
        <w:t xml:space="preserve"> respondents * $300 filing fee].</w:t>
      </w:r>
    </w:p>
    <w:p w:rsidR="00697D42" w:rsidRPr="00560C07" w:rsidP="00697D42" w14:paraId="7DDE4D18" w14:textId="77777777">
      <w:pPr>
        <w:tabs>
          <w:tab w:val="left" w:pos="-1440"/>
          <w:tab w:val="left" w:pos="-720"/>
        </w:tabs>
        <w:ind w:left="360"/>
        <w:rPr>
          <w:rFonts w:ascii="Times New Roman" w:hAnsi="Times New Roman"/>
          <w:b/>
          <w:bCs/>
          <w:sz w:val="24"/>
          <w:szCs w:val="24"/>
        </w:rPr>
      </w:pPr>
    </w:p>
    <w:p w:rsidR="00093E87" w:rsidRPr="00644586" w:rsidP="00697D42" w14:paraId="786D4512" w14:textId="77F27784">
      <w:pPr>
        <w:ind w:left="360"/>
        <w:rPr>
          <w:b/>
        </w:rPr>
      </w:pPr>
      <w:r w:rsidRPr="003326A4">
        <w:rPr>
          <w:rFonts w:ascii="Times New Roman" w:hAnsi="Times New Roman"/>
          <w:b/>
          <w:bCs/>
          <w:sz w:val="24"/>
          <w:szCs w:val="24"/>
        </w:rPr>
        <w:t xml:space="preserve">The average annual estimated </w:t>
      </w:r>
      <w:r>
        <w:rPr>
          <w:rFonts w:ascii="Times New Roman" w:hAnsi="Times New Roman"/>
          <w:b/>
          <w:bCs/>
          <w:sz w:val="24"/>
          <w:szCs w:val="24"/>
        </w:rPr>
        <w:t>MCSA filing cost</w:t>
      </w:r>
      <w:r w:rsidRPr="00560C07">
        <w:rPr>
          <w:rFonts w:ascii="Times New Roman" w:hAnsi="Times New Roman"/>
          <w:b/>
          <w:bCs/>
          <w:sz w:val="24"/>
          <w:szCs w:val="24"/>
        </w:rPr>
        <w:t xml:space="preserve"> </w:t>
      </w:r>
      <w:r>
        <w:rPr>
          <w:rFonts w:ascii="Times New Roman" w:hAnsi="Times New Roman"/>
          <w:b/>
          <w:bCs/>
          <w:sz w:val="24"/>
          <w:szCs w:val="24"/>
        </w:rPr>
        <w:t xml:space="preserve">to respondents </w:t>
      </w:r>
      <w:r w:rsidRPr="003326A4">
        <w:rPr>
          <w:rFonts w:ascii="Times New Roman" w:hAnsi="Times New Roman"/>
          <w:b/>
          <w:bCs/>
          <w:sz w:val="24"/>
          <w:szCs w:val="24"/>
        </w:rPr>
        <w:t>is $</w:t>
      </w:r>
      <w:r w:rsidR="00545B01">
        <w:rPr>
          <w:rFonts w:ascii="Times New Roman" w:hAnsi="Times New Roman"/>
          <w:b/>
          <w:bCs/>
          <w:sz w:val="24"/>
          <w:szCs w:val="24"/>
        </w:rPr>
        <w:t>54,</w:t>
      </w:r>
      <w:r w:rsidR="009B7DCC">
        <w:rPr>
          <w:rFonts w:ascii="Times New Roman" w:hAnsi="Times New Roman"/>
          <w:b/>
          <w:bCs/>
          <w:sz w:val="24"/>
          <w:szCs w:val="24"/>
        </w:rPr>
        <w:t>978,200</w:t>
      </w:r>
      <w:r w:rsidRPr="003326A4">
        <w:rPr>
          <w:rFonts w:ascii="Times New Roman" w:hAnsi="Times New Roman"/>
          <w:b/>
          <w:bCs/>
          <w:sz w:val="24"/>
          <w:szCs w:val="24"/>
        </w:rPr>
        <w:t xml:space="preserve"> </w:t>
      </w:r>
      <w:r w:rsidRPr="003326A4">
        <w:rPr>
          <w:rFonts w:ascii="Times New Roman" w:hAnsi="Times New Roman"/>
          <w:sz w:val="24"/>
          <w:szCs w:val="24"/>
        </w:rPr>
        <w:t>[$</w:t>
      </w:r>
      <w:r w:rsidR="009B7DCC">
        <w:rPr>
          <w:rFonts w:ascii="Times New Roman" w:hAnsi="Times New Roman"/>
          <w:sz w:val="24"/>
          <w:szCs w:val="24"/>
        </w:rPr>
        <w:t>164,934,600</w:t>
      </w:r>
      <w:r w:rsidRPr="003326A4">
        <w:rPr>
          <w:rFonts w:ascii="Times New Roman" w:hAnsi="Times New Roman"/>
          <w:sz w:val="24"/>
          <w:szCs w:val="24"/>
        </w:rPr>
        <w:t xml:space="preserve"> total</w:t>
      </w:r>
      <w:r>
        <w:rPr>
          <w:rFonts w:ascii="Times New Roman" w:hAnsi="Times New Roman"/>
          <w:sz w:val="24"/>
          <w:szCs w:val="24"/>
        </w:rPr>
        <w:t xml:space="preserve"> fee</w:t>
      </w:r>
      <w:r w:rsidRPr="003326A4">
        <w:rPr>
          <w:rFonts w:ascii="Times New Roman" w:hAnsi="Times New Roman"/>
          <w:sz w:val="24"/>
          <w:szCs w:val="24"/>
        </w:rPr>
        <w:t xml:space="preserve"> cost to respondents/3 years]</w:t>
      </w:r>
      <w:r>
        <w:rPr>
          <w:rFonts w:ascii="Times New Roman" w:hAnsi="Times New Roman"/>
          <w:sz w:val="24"/>
          <w:szCs w:val="24"/>
        </w:rPr>
        <w:t>.</w:t>
      </w:r>
    </w:p>
    <w:p w:rsidR="00E9142F" w:rsidRPr="00644586" w:rsidP="00E9142F" w14:paraId="664D679A" w14:textId="295CE878">
      <w:pPr>
        <w:ind w:left="360"/>
        <w:rPr>
          <w:rFonts w:ascii="Times New Roman" w:hAnsi="Times New Roman"/>
          <w:sz w:val="24"/>
          <w:szCs w:val="24"/>
        </w:rPr>
      </w:pPr>
      <w:r w:rsidRPr="00644586">
        <w:rPr>
          <w:rFonts w:ascii="Times New Roman" w:hAnsi="Times New Roman"/>
          <w:sz w:val="24"/>
          <w:szCs w:val="24"/>
        </w:rPr>
        <w:t>All responses will be filed electronically. Therefore, there are no mailing or postage costs associated with this ICR. All filers are assumed to have computers or to be able to access the online filing site from public computers. Some carriers may pay a third party to file the information as part of a service to assist them in setting up a business. The fees charged, however, cover multiple services. FMCSA has no information on how many carriers use such services or what part of the fees should be attributed to filing this form.</w:t>
      </w:r>
    </w:p>
    <w:p w:rsidR="00E9142F" w:rsidP="00E9142F" w14:paraId="20EE695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E9142F" w:rsidRPr="005A7B6A" w:rsidP="00E9142F" w14:paraId="754C5DB6" w14:textId="77777777">
      <w:pPr>
        <w:numPr>
          <w:ilvl w:val="0"/>
          <w:numId w:val="31"/>
        </w:numPr>
        <w:rPr>
          <w:rFonts w:ascii="Times New Roman" w:hAnsi="Times New Roman"/>
          <w:sz w:val="24"/>
          <w:szCs w:val="24"/>
        </w:rPr>
      </w:pPr>
      <w:r w:rsidRPr="00644586">
        <w:rPr>
          <w:rFonts w:ascii="Times New Roman" w:hAnsi="Times New Roman"/>
          <w:b/>
          <w:bCs/>
          <w:sz w:val="24"/>
          <w:szCs w:val="24"/>
        </w:rPr>
        <w:t>ESTIMATE OF COST TO THE FEDERAL GOVERNMENT</w:t>
      </w:r>
    </w:p>
    <w:p w:rsidR="005A7B6A" w:rsidRPr="00644586" w:rsidP="005A7B6A" w14:paraId="2F7A12E9" w14:textId="77777777">
      <w:pPr>
        <w:ind w:left="360"/>
        <w:rPr>
          <w:rFonts w:ascii="Times New Roman" w:hAnsi="Times New Roman"/>
          <w:sz w:val="24"/>
          <w:szCs w:val="24"/>
        </w:rPr>
      </w:pPr>
    </w:p>
    <w:p w:rsidR="00E9142F" w:rsidRPr="00644586" w:rsidP="00E9142F" w14:paraId="0DB3FBEB" w14:textId="7934389A">
      <w:pPr>
        <w:ind w:left="360"/>
        <w:rPr>
          <w:rFonts w:ascii="Times New Roman" w:hAnsi="Times New Roman"/>
          <w:sz w:val="24"/>
          <w:szCs w:val="24"/>
        </w:rPr>
      </w:pPr>
      <w:r w:rsidRPr="00644586">
        <w:rPr>
          <w:rFonts w:ascii="Times New Roman" w:hAnsi="Times New Roman"/>
          <w:sz w:val="24"/>
          <w:szCs w:val="24"/>
        </w:rPr>
        <w:t xml:space="preserve">FMCSA estimates that the total Federal Government cost associated with processing MCSA-1 applications for the three-year period covered by this ICR is </w:t>
      </w:r>
      <w:r w:rsidRPr="003326A4">
        <w:rPr>
          <w:rFonts w:ascii="Times New Roman" w:hAnsi="Times New Roman"/>
          <w:sz w:val="24"/>
          <w:szCs w:val="24"/>
        </w:rPr>
        <w:t>$</w:t>
      </w:r>
      <w:r w:rsidR="00D429F5">
        <w:rPr>
          <w:rFonts w:ascii="Times New Roman" w:hAnsi="Times New Roman"/>
          <w:sz w:val="24"/>
          <w:szCs w:val="24"/>
        </w:rPr>
        <w:t>6,453,612</w:t>
      </w:r>
      <w:r w:rsidRPr="003326A4">
        <w:rPr>
          <w:rFonts w:ascii="Times New Roman" w:hAnsi="Times New Roman"/>
          <w:sz w:val="24"/>
          <w:szCs w:val="24"/>
        </w:rPr>
        <w:t>.</w:t>
      </w:r>
      <w:r>
        <w:rPr>
          <w:rFonts w:ascii="Times New Roman" w:hAnsi="Times New Roman"/>
          <w:sz w:val="24"/>
          <w:szCs w:val="24"/>
        </w:rPr>
        <w:t xml:space="preserve"> </w:t>
      </w:r>
      <w:r w:rsidRPr="00644586">
        <w:rPr>
          <w:rFonts w:ascii="Times New Roman" w:hAnsi="Times New Roman"/>
          <w:sz w:val="24"/>
          <w:szCs w:val="24"/>
        </w:rPr>
        <w:t xml:space="preserve">This estimate includes staff </w:t>
      </w:r>
      <w:r w:rsidRPr="003326A4">
        <w:rPr>
          <w:rFonts w:ascii="Times New Roman" w:hAnsi="Times New Roman"/>
          <w:sz w:val="24"/>
          <w:szCs w:val="24"/>
        </w:rPr>
        <w:t>costs ($</w:t>
      </w:r>
      <w:r w:rsidR="00CE2354">
        <w:rPr>
          <w:rFonts w:ascii="Times New Roman" w:hAnsi="Times New Roman"/>
          <w:sz w:val="24"/>
          <w:szCs w:val="24"/>
        </w:rPr>
        <w:t>3,970,959</w:t>
      </w:r>
      <w:r w:rsidRPr="003326A4" w:rsidR="001E50DD">
        <w:rPr>
          <w:rFonts w:ascii="Times New Roman" w:hAnsi="Times New Roman"/>
          <w:sz w:val="24"/>
          <w:szCs w:val="24"/>
        </w:rPr>
        <w:t xml:space="preserve"> total</w:t>
      </w:r>
      <w:r w:rsidRPr="003326A4">
        <w:rPr>
          <w:rFonts w:ascii="Times New Roman" w:hAnsi="Times New Roman"/>
          <w:sz w:val="24"/>
          <w:szCs w:val="24"/>
        </w:rPr>
        <w:t>)</w:t>
      </w:r>
      <w:r w:rsidRPr="00644586">
        <w:rPr>
          <w:rFonts w:ascii="Times New Roman" w:hAnsi="Times New Roman"/>
          <w:sz w:val="24"/>
          <w:szCs w:val="24"/>
        </w:rPr>
        <w:t xml:space="preserve"> and IT </w:t>
      </w:r>
      <w:r w:rsidRPr="00C77B79">
        <w:rPr>
          <w:rFonts w:ascii="Times New Roman" w:hAnsi="Times New Roman"/>
          <w:sz w:val="24"/>
          <w:szCs w:val="24"/>
        </w:rPr>
        <w:t>support ($</w:t>
      </w:r>
      <w:r w:rsidR="00CE2354">
        <w:rPr>
          <w:rFonts w:ascii="Times New Roman" w:hAnsi="Times New Roman"/>
          <w:sz w:val="24"/>
          <w:szCs w:val="24"/>
        </w:rPr>
        <w:t>2,482,653</w:t>
      </w:r>
      <w:r w:rsidRPr="00C77B79">
        <w:rPr>
          <w:rFonts w:ascii="Times New Roman" w:hAnsi="Times New Roman"/>
          <w:sz w:val="24"/>
          <w:szCs w:val="24"/>
        </w:rPr>
        <w:t xml:space="preserve"> total).</w:t>
      </w:r>
    </w:p>
    <w:p w:rsidR="00E9142F" w:rsidRPr="00644586" w:rsidP="00E9142F" w14:paraId="4CD40FF5" w14:textId="77777777">
      <w:pPr>
        <w:ind w:left="360"/>
        <w:rPr>
          <w:rFonts w:ascii="Times New Roman" w:hAnsi="Times New Roman"/>
          <w:sz w:val="24"/>
          <w:szCs w:val="24"/>
        </w:rPr>
      </w:pPr>
    </w:p>
    <w:p w:rsidR="00F42A94" w:rsidP="00E9142F" w14:paraId="1E34F172" w14:textId="1A3371F8">
      <w:pPr>
        <w:ind w:left="360"/>
        <w:rPr>
          <w:rFonts w:ascii="Times New Roman" w:hAnsi="Times New Roman"/>
          <w:sz w:val="24"/>
          <w:szCs w:val="24"/>
        </w:rPr>
      </w:pPr>
      <w:r w:rsidRPr="00644586">
        <w:rPr>
          <w:rFonts w:ascii="Times New Roman" w:hAnsi="Times New Roman"/>
          <w:sz w:val="24"/>
          <w:szCs w:val="24"/>
        </w:rPr>
        <w:t>Built into URS is a screening system that flags applicants who may be high-risk carriers.</w:t>
      </w:r>
      <w:r>
        <w:rPr>
          <w:rFonts w:ascii="Times New Roman" w:hAnsi="Times New Roman"/>
          <w:sz w:val="24"/>
          <w:szCs w:val="24"/>
        </w:rPr>
        <w:t xml:space="preserve"> </w:t>
      </w:r>
      <w:r w:rsidRPr="00644586">
        <w:rPr>
          <w:rFonts w:ascii="Times New Roman" w:hAnsi="Times New Roman"/>
          <w:sz w:val="24"/>
          <w:szCs w:val="24"/>
        </w:rPr>
        <w:t>This tool—known as the Utility for Risk-Based Screening and Assessment, or URSA—includes an algorithm and corresponding software for an automatic risk-based assessment that calculates a risk potential based on the likelihood that an applicant for operating authority is a chameleon carrier, is attempting to reincarnate, or is attempting otherwise to receive authority illicitly.</w:t>
      </w:r>
      <w:r>
        <w:rPr>
          <w:rFonts w:ascii="Times New Roman" w:hAnsi="Times New Roman"/>
          <w:sz w:val="24"/>
          <w:szCs w:val="24"/>
        </w:rPr>
        <w:t xml:space="preserve"> </w:t>
      </w:r>
      <w:r w:rsidRPr="00644586">
        <w:rPr>
          <w:rFonts w:ascii="Times New Roman" w:hAnsi="Times New Roman"/>
          <w:sz w:val="24"/>
          <w:szCs w:val="24"/>
        </w:rPr>
        <w:t>URSA is an effective tool that speeds up the registration process</w:t>
      </w:r>
      <w:r w:rsidR="00DA54CD">
        <w:rPr>
          <w:rFonts w:ascii="Times New Roman" w:hAnsi="Times New Roman"/>
          <w:sz w:val="24"/>
          <w:szCs w:val="24"/>
        </w:rPr>
        <w:t xml:space="preserve"> </w:t>
      </w:r>
    </w:p>
    <w:p w:rsidR="00E9142F" w:rsidRPr="00644586" w:rsidP="00E9142F" w14:paraId="7E74FC92" w14:textId="42A7FD87">
      <w:pPr>
        <w:ind w:left="360"/>
        <w:rPr>
          <w:rFonts w:ascii="Times New Roman" w:hAnsi="Times New Roman"/>
          <w:sz w:val="24"/>
          <w:szCs w:val="24"/>
        </w:rPr>
      </w:pPr>
      <w:r w:rsidRPr="00644586">
        <w:rPr>
          <w:rFonts w:ascii="Times New Roman" w:hAnsi="Times New Roman"/>
          <w:sz w:val="24"/>
          <w:szCs w:val="24"/>
        </w:rPr>
        <w:t>and reduces the number of Federal labor hours spent on registration screening activities. Instead of manually reviewing every application received, FMCSA staff conduct more in-depth reviews of applicants flagged by URSA as potentially high-risk.</w:t>
      </w:r>
    </w:p>
    <w:p w:rsidR="00E9142F" w:rsidP="00E9142F" w14:paraId="690A73AF" w14:textId="77777777">
      <w:pPr>
        <w:ind w:left="360"/>
        <w:rPr>
          <w:rFonts w:ascii="Times New Roman" w:hAnsi="Times New Roman"/>
          <w:sz w:val="24"/>
          <w:szCs w:val="24"/>
        </w:rPr>
      </w:pPr>
    </w:p>
    <w:p w:rsidR="00E9142F" w:rsidRPr="00644586" w:rsidP="00E9142F" w14:paraId="04BD2925" w14:textId="7162555E">
      <w:pPr>
        <w:ind w:left="360"/>
        <w:rPr>
          <w:rFonts w:ascii="Times New Roman" w:hAnsi="Times New Roman"/>
          <w:sz w:val="24"/>
          <w:szCs w:val="24"/>
        </w:rPr>
      </w:pPr>
      <w:r>
        <w:rPr>
          <w:rFonts w:ascii="Times New Roman" w:hAnsi="Times New Roman"/>
          <w:sz w:val="24"/>
          <w:szCs w:val="24"/>
        </w:rPr>
        <w:t>Between 20</w:t>
      </w:r>
      <w:r w:rsidR="0032682F">
        <w:rPr>
          <w:rFonts w:ascii="Times New Roman" w:hAnsi="Times New Roman"/>
          <w:sz w:val="24"/>
          <w:szCs w:val="24"/>
        </w:rPr>
        <w:t>22</w:t>
      </w:r>
      <w:r>
        <w:rPr>
          <w:rFonts w:ascii="Times New Roman" w:hAnsi="Times New Roman"/>
          <w:sz w:val="24"/>
          <w:szCs w:val="24"/>
        </w:rPr>
        <w:t xml:space="preserve"> and 202</w:t>
      </w:r>
      <w:r w:rsidR="0032682F">
        <w:rPr>
          <w:rFonts w:ascii="Times New Roman" w:hAnsi="Times New Roman"/>
          <w:sz w:val="24"/>
          <w:szCs w:val="24"/>
        </w:rPr>
        <w:t>4</w:t>
      </w:r>
      <w:r>
        <w:rPr>
          <w:rFonts w:ascii="Times New Roman" w:hAnsi="Times New Roman"/>
          <w:sz w:val="24"/>
          <w:szCs w:val="24"/>
        </w:rPr>
        <w:t xml:space="preserve">, </w:t>
      </w:r>
      <w:r w:rsidRPr="00644586">
        <w:rPr>
          <w:rFonts w:ascii="Times New Roman" w:hAnsi="Times New Roman"/>
          <w:sz w:val="24"/>
          <w:szCs w:val="24"/>
        </w:rPr>
        <w:t xml:space="preserve">URSA flagged </w:t>
      </w:r>
      <w:r>
        <w:rPr>
          <w:rFonts w:ascii="Times New Roman" w:hAnsi="Times New Roman"/>
          <w:sz w:val="24"/>
          <w:szCs w:val="24"/>
        </w:rPr>
        <w:t>approximately 2 percent</w:t>
      </w:r>
      <w:r w:rsidRPr="00644586">
        <w:rPr>
          <w:rFonts w:ascii="Times New Roman" w:hAnsi="Times New Roman"/>
          <w:sz w:val="24"/>
          <w:szCs w:val="24"/>
        </w:rPr>
        <w:t xml:space="preserve"> of applicants</w:t>
      </w:r>
      <w:r>
        <w:rPr>
          <w:rFonts w:ascii="Times New Roman" w:hAnsi="Times New Roman"/>
          <w:sz w:val="24"/>
          <w:szCs w:val="24"/>
        </w:rPr>
        <w:t xml:space="preserve"> per year</w:t>
      </w:r>
      <w:r w:rsidRPr="00644586">
        <w:rPr>
          <w:rFonts w:ascii="Times New Roman" w:hAnsi="Times New Roman"/>
          <w:sz w:val="24"/>
          <w:szCs w:val="24"/>
        </w:rPr>
        <w:t xml:space="preserve"> as potentially high risk. When URSA flags a motor carrier, FMCSA’s vetting staff manually screens the applicant. There are two steps in this process: pre-screening and full investigation. If an applicant passes the pre-screening phase, no additional steps are necessary. However, if an applicant fails the pre-screening phase, a full investigation must be conducted. Pre-screening activities are conducted by one of FMCSA’s vetting agents (either GS-9 or GS-11), while full investigations are conducted by FMCSA’s senior vetting agents (either GS-12 or </w:t>
      </w:r>
      <w:r>
        <w:rPr>
          <w:rFonts w:ascii="Times New Roman" w:hAnsi="Times New Roman"/>
          <w:sz w:val="24"/>
          <w:szCs w:val="24"/>
        </w:rPr>
        <w:t>GS-13).</w:t>
      </w:r>
    </w:p>
    <w:p w:rsidR="00E9142F" w:rsidRPr="00644586" w:rsidP="00E9142F" w14:paraId="67E01A40" w14:textId="77777777">
      <w:pPr>
        <w:ind w:left="360"/>
        <w:rPr>
          <w:rFonts w:ascii="Times New Roman" w:hAnsi="Times New Roman"/>
          <w:sz w:val="24"/>
          <w:szCs w:val="24"/>
        </w:rPr>
      </w:pPr>
    </w:p>
    <w:p w:rsidR="00E9142F" w:rsidP="00E9142F" w14:paraId="1B5BF0BB" w14:textId="3EBE6F86">
      <w:pPr>
        <w:ind w:left="360"/>
        <w:rPr>
          <w:rFonts w:ascii="Times New Roman" w:hAnsi="Times New Roman"/>
          <w:sz w:val="24"/>
          <w:szCs w:val="24"/>
        </w:rPr>
      </w:pPr>
      <w:r w:rsidRPr="00644586">
        <w:rPr>
          <w:rFonts w:ascii="Times New Roman" w:hAnsi="Times New Roman"/>
          <w:sz w:val="24"/>
          <w:szCs w:val="24"/>
        </w:rPr>
        <w:t xml:space="preserve">As described above, FMCSA staff only review a percentage of MCSA-1 applications. </w:t>
      </w: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_Ref16237027 \h  \* MERGEFORMAT </w:instrText>
      </w:r>
      <w:r w:rsidRPr="00644586">
        <w:rPr>
          <w:rFonts w:ascii="Times New Roman" w:hAnsi="Times New Roman"/>
          <w:sz w:val="24"/>
          <w:szCs w:val="24"/>
        </w:rPr>
        <w:fldChar w:fldCharType="separate"/>
      </w:r>
      <w:r w:rsidRPr="00D9369E" w:rsidR="00D9369E">
        <w:rPr>
          <w:rFonts w:ascii="Times New Roman" w:hAnsi="Times New Roman"/>
          <w:sz w:val="24"/>
          <w:szCs w:val="24"/>
        </w:rPr>
        <w:t>Table 5</w:t>
      </w:r>
      <w:r w:rsidRPr="00644586">
        <w:rPr>
          <w:rFonts w:ascii="Times New Roman" w:hAnsi="Times New Roman"/>
          <w:sz w:val="24"/>
          <w:szCs w:val="24"/>
        </w:rPr>
        <w:fldChar w:fldCharType="end"/>
      </w:r>
      <w:r w:rsidRPr="00644586">
        <w:rPr>
          <w:rFonts w:ascii="Times New Roman" w:hAnsi="Times New Roman"/>
          <w:sz w:val="24"/>
          <w:szCs w:val="24"/>
        </w:rPr>
        <w:t xml:space="preserve"> presents the number of applications manually reviewed by FMCSA staff for ca</w:t>
      </w:r>
      <w:r>
        <w:rPr>
          <w:rFonts w:ascii="Times New Roman" w:hAnsi="Times New Roman"/>
          <w:sz w:val="24"/>
          <w:szCs w:val="24"/>
        </w:rPr>
        <w:t>lendar years 20</w:t>
      </w:r>
      <w:r w:rsidR="008E4051">
        <w:rPr>
          <w:rFonts w:ascii="Times New Roman" w:hAnsi="Times New Roman"/>
          <w:sz w:val="24"/>
          <w:szCs w:val="24"/>
        </w:rPr>
        <w:t>22</w:t>
      </w:r>
      <w:r>
        <w:rPr>
          <w:rFonts w:ascii="Times New Roman" w:hAnsi="Times New Roman"/>
          <w:sz w:val="24"/>
          <w:szCs w:val="24"/>
        </w:rPr>
        <w:t xml:space="preserve"> through 20</w:t>
      </w:r>
      <w:r w:rsidR="00E602F3">
        <w:rPr>
          <w:rFonts w:ascii="Times New Roman" w:hAnsi="Times New Roman"/>
          <w:sz w:val="24"/>
          <w:szCs w:val="24"/>
        </w:rPr>
        <w:t>2</w:t>
      </w:r>
      <w:r w:rsidR="008E4051">
        <w:rPr>
          <w:rFonts w:ascii="Times New Roman" w:hAnsi="Times New Roman"/>
          <w:sz w:val="24"/>
          <w:szCs w:val="24"/>
        </w:rPr>
        <w:t>4</w:t>
      </w:r>
      <w:r>
        <w:rPr>
          <w:rFonts w:ascii="Times New Roman" w:hAnsi="Times New Roman"/>
          <w:sz w:val="24"/>
          <w:szCs w:val="24"/>
        </w:rPr>
        <w:t>.</w:t>
      </w:r>
      <w:r w:rsidR="00E602F3">
        <w:rPr>
          <w:rFonts w:ascii="Times New Roman" w:hAnsi="Times New Roman"/>
          <w:sz w:val="24"/>
          <w:szCs w:val="24"/>
        </w:rPr>
        <w:t xml:space="preserve"> Based on the fully investigated applications from 20</w:t>
      </w:r>
      <w:r w:rsidR="00D64A36">
        <w:rPr>
          <w:rFonts w:ascii="Times New Roman" w:hAnsi="Times New Roman"/>
          <w:sz w:val="24"/>
          <w:szCs w:val="24"/>
        </w:rPr>
        <w:t>22</w:t>
      </w:r>
      <w:r w:rsidR="00E602F3">
        <w:rPr>
          <w:rFonts w:ascii="Times New Roman" w:hAnsi="Times New Roman"/>
          <w:sz w:val="24"/>
          <w:szCs w:val="24"/>
        </w:rPr>
        <w:t>-20</w:t>
      </w:r>
      <w:r w:rsidR="00AD370B">
        <w:rPr>
          <w:rFonts w:ascii="Times New Roman" w:hAnsi="Times New Roman"/>
          <w:sz w:val="24"/>
          <w:szCs w:val="24"/>
        </w:rPr>
        <w:t>24</w:t>
      </w:r>
      <w:r w:rsidR="00E602F3">
        <w:rPr>
          <w:rFonts w:ascii="Times New Roman" w:hAnsi="Times New Roman"/>
          <w:sz w:val="24"/>
          <w:szCs w:val="24"/>
        </w:rPr>
        <w:t>, FMCSA assumes that an average of 16% of prescreened applications will be fully investigated.</w:t>
      </w:r>
    </w:p>
    <w:p w:rsidR="00E9142F" w:rsidRPr="00644586" w:rsidP="00E9142F" w14:paraId="312EE37E" w14:textId="77777777">
      <w:pPr>
        <w:ind w:left="360"/>
        <w:rPr>
          <w:rFonts w:ascii="Times New Roman" w:hAnsi="Times New Roman"/>
          <w:sz w:val="24"/>
          <w:szCs w:val="24"/>
        </w:rPr>
      </w:pPr>
    </w:p>
    <w:p w:rsidR="00E9142F" w:rsidRPr="005A7B6A" w:rsidP="005A7B6A" w14:paraId="6EDA1D08" w14:textId="07ABAF59">
      <w:pPr>
        <w:pStyle w:val="Caption"/>
        <w:spacing w:after="0"/>
        <w:jc w:val="center"/>
        <w:rPr>
          <w:b/>
          <w:i w:val="0"/>
          <w:color w:val="auto"/>
          <w:sz w:val="24"/>
          <w:szCs w:val="24"/>
        </w:rPr>
      </w:pPr>
      <w:bookmarkStart w:id="9" w:name="_Ref16237027"/>
      <w:r w:rsidRPr="005A7B6A">
        <w:rPr>
          <w:b/>
          <w:i w:val="0"/>
          <w:color w:val="auto"/>
          <w:sz w:val="24"/>
          <w:szCs w:val="24"/>
        </w:rPr>
        <w:t xml:space="preserve">Table </w:t>
      </w:r>
      <w:r w:rsidRPr="005A7B6A">
        <w:rPr>
          <w:b/>
          <w:i w:val="0"/>
          <w:color w:val="auto"/>
          <w:sz w:val="24"/>
          <w:szCs w:val="24"/>
        </w:rPr>
        <w:fldChar w:fldCharType="begin"/>
      </w:r>
      <w:r w:rsidRPr="005A7B6A">
        <w:rPr>
          <w:b/>
          <w:i w:val="0"/>
          <w:color w:val="auto"/>
          <w:sz w:val="24"/>
          <w:szCs w:val="24"/>
        </w:rPr>
        <w:instrText xml:space="preserve"> SEQ Table \* ARABIC </w:instrText>
      </w:r>
      <w:r w:rsidRPr="005A7B6A">
        <w:rPr>
          <w:b/>
          <w:i w:val="0"/>
          <w:color w:val="auto"/>
          <w:sz w:val="24"/>
          <w:szCs w:val="24"/>
        </w:rPr>
        <w:fldChar w:fldCharType="separate"/>
      </w:r>
      <w:r w:rsidRPr="005A7B6A" w:rsidR="00D9369E">
        <w:rPr>
          <w:b/>
          <w:i w:val="0"/>
          <w:noProof/>
          <w:color w:val="auto"/>
          <w:sz w:val="24"/>
          <w:szCs w:val="24"/>
        </w:rPr>
        <w:t>5</w:t>
      </w:r>
      <w:r w:rsidRPr="005A7B6A">
        <w:rPr>
          <w:b/>
          <w:i w:val="0"/>
          <w:color w:val="auto"/>
          <w:sz w:val="24"/>
          <w:szCs w:val="24"/>
        </w:rPr>
        <w:fldChar w:fldCharType="end"/>
      </w:r>
      <w:bookmarkEnd w:id="9"/>
      <w:r w:rsidRPr="005A7B6A">
        <w:rPr>
          <w:b/>
          <w:i w:val="0"/>
          <w:color w:val="auto"/>
          <w:sz w:val="24"/>
          <w:szCs w:val="24"/>
        </w:rPr>
        <w:t>. MCSA-1 applications screened and/or investigated by vetting staff, 20</w:t>
      </w:r>
      <w:r w:rsidRPr="005A7B6A" w:rsidR="00452069">
        <w:rPr>
          <w:b/>
          <w:i w:val="0"/>
          <w:color w:val="auto"/>
          <w:sz w:val="24"/>
          <w:szCs w:val="24"/>
        </w:rPr>
        <w:t>22</w:t>
      </w:r>
      <w:r w:rsidRPr="005A7B6A">
        <w:rPr>
          <w:b/>
          <w:i w:val="0"/>
          <w:color w:val="auto"/>
          <w:sz w:val="24"/>
          <w:szCs w:val="24"/>
        </w:rPr>
        <w:t>-20</w:t>
      </w:r>
      <w:r w:rsidRPr="005A7B6A" w:rsidR="00E602F3">
        <w:rPr>
          <w:b/>
          <w:i w:val="0"/>
          <w:color w:val="auto"/>
          <w:sz w:val="24"/>
          <w:szCs w:val="24"/>
        </w:rPr>
        <w:t>2</w:t>
      </w:r>
      <w:r w:rsidRPr="005A7B6A" w:rsidR="00452069">
        <w:rPr>
          <w:b/>
          <w:i w:val="0"/>
          <w:color w:val="auto"/>
          <w:sz w:val="24"/>
          <w:szCs w:val="24"/>
        </w:rPr>
        <w:t>4</w:t>
      </w:r>
      <w:r w:rsidRPr="005A7B6A">
        <w:rPr>
          <w:b/>
          <w:i w:val="0"/>
          <w:color w:val="auto"/>
          <w:sz w:val="24"/>
          <w:szCs w:val="24"/>
        </w:rPr>
        <w:t>.</w:t>
      </w:r>
    </w:p>
    <w:p w:rsidR="005A7B6A" w:rsidRPr="005A7B6A" w:rsidP="005A7B6A" w14:paraId="7FE3AF34" w14:textId="77777777">
      <w:pPr>
        <w:rPr>
          <w:sz w:val="24"/>
          <w:szCs w:val="24"/>
        </w:rPr>
      </w:pPr>
    </w:p>
    <w:tbl>
      <w:tblPr>
        <w:tblW w:w="890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tblPr>
      <w:tblGrid>
        <w:gridCol w:w="1795"/>
        <w:gridCol w:w="1980"/>
        <w:gridCol w:w="2160"/>
        <w:gridCol w:w="2970"/>
      </w:tblGrid>
      <w:tr w14:paraId="11CB77B5" w14:textId="77777777" w:rsidTr="005A7B6A">
        <w:tblPrEx>
          <w:tblW w:w="890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tblPrEx>
        <w:tc>
          <w:tcPr>
            <w:tcW w:w="1795" w:type="dxa"/>
            <w:shd w:val="clear" w:color="auto" w:fill="auto"/>
            <w:vAlign w:val="bottom"/>
          </w:tcPr>
          <w:p w:rsidR="00E9142F" w:rsidRPr="00C84669" w:rsidP="00E9142F" w14:paraId="4098A7F4" w14:textId="77777777">
            <w:pPr>
              <w:jc w:val="center"/>
              <w:rPr>
                <w:rFonts w:ascii="Times New Roman" w:hAnsi="Times New Roman"/>
                <w:b/>
                <w:sz w:val="24"/>
                <w:szCs w:val="24"/>
              </w:rPr>
            </w:pPr>
            <w:r w:rsidRPr="00C84669">
              <w:rPr>
                <w:rFonts w:ascii="Times New Roman" w:hAnsi="Times New Roman"/>
                <w:b/>
                <w:sz w:val="24"/>
                <w:szCs w:val="24"/>
              </w:rPr>
              <w:t>Calendar Year</w:t>
            </w:r>
          </w:p>
        </w:tc>
        <w:tc>
          <w:tcPr>
            <w:tcW w:w="1980" w:type="dxa"/>
            <w:shd w:val="clear" w:color="auto" w:fill="auto"/>
            <w:vAlign w:val="bottom"/>
          </w:tcPr>
          <w:p w:rsidR="00E9142F" w:rsidRPr="00C84669" w:rsidP="00E9142F" w14:paraId="3B7012C8" w14:textId="77777777">
            <w:pPr>
              <w:jc w:val="center"/>
              <w:rPr>
                <w:rFonts w:ascii="Times New Roman" w:hAnsi="Times New Roman"/>
                <w:b/>
                <w:sz w:val="24"/>
                <w:szCs w:val="24"/>
              </w:rPr>
            </w:pPr>
            <w:r w:rsidRPr="00C84669">
              <w:rPr>
                <w:rFonts w:ascii="Times New Roman" w:hAnsi="Times New Roman"/>
                <w:b/>
                <w:sz w:val="24"/>
                <w:szCs w:val="24"/>
              </w:rPr>
              <w:t>Applications Pre-Screened</w:t>
            </w:r>
          </w:p>
        </w:tc>
        <w:tc>
          <w:tcPr>
            <w:tcW w:w="2160" w:type="dxa"/>
            <w:shd w:val="clear" w:color="auto" w:fill="auto"/>
            <w:vAlign w:val="bottom"/>
          </w:tcPr>
          <w:p w:rsidR="00E9142F" w:rsidRPr="00C84669" w:rsidP="00E9142F" w14:paraId="558D6603" w14:textId="77777777">
            <w:pPr>
              <w:jc w:val="center"/>
              <w:rPr>
                <w:rFonts w:ascii="Times New Roman" w:hAnsi="Times New Roman"/>
                <w:b/>
                <w:sz w:val="24"/>
                <w:szCs w:val="24"/>
              </w:rPr>
            </w:pPr>
            <w:r w:rsidRPr="00C84669">
              <w:rPr>
                <w:rFonts w:ascii="Times New Roman" w:hAnsi="Times New Roman"/>
                <w:b/>
                <w:sz w:val="24"/>
                <w:szCs w:val="24"/>
              </w:rPr>
              <w:t>Applications Fully Investigated</w:t>
            </w:r>
          </w:p>
        </w:tc>
        <w:tc>
          <w:tcPr>
            <w:tcW w:w="2970" w:type="dxa"/>
            <w:shd w:val="clear" w:color="auto" w:fill="auto"/>
            <w:vAlign w:val="bottom"/>
          </w:tcPr>
          <w:p w:rsidR="00E9142F" w:rsidRPr="00C84669" w:rsidP="00E9142F" w14:paraId="2C8F5563" w14:textId="77777777">
            <w:pPr>
              <w:jc w:val="center"/>
              <w:rPr>
                <w:rFonts w:ascii="Times New Roman" w:hAnsi="Times New Roman"/>
                <w:b/>
                <w:sz w:val="24"/>
                <w:szCs w:val="24"/>
              </w:rPr>
            </w:pPr>
            <w:r w:rsidRPr="00C84669">
              <w:rPr>
                <w:rFonts w:ascii="Times New Roman" w:hAnsi="Times New Roman"/>
                <w:b/>
                <w:sz w:val="24"/>
                <w:szCs w:val="24"/>
              </w:rPr>
              <w:t>Total Screening and Investigation Activities</w:t>
            </w:r>
          </w:p>
        </w:tc>
      </w:tr>
      <w:tr w14:paraId="515ABE0F" w14:textId="77777777" w:rsidTr="005A7B6A">
        <w:tblPrEx>
          <w:tblW w:w="8905" w:type="dxa"/>
          <w:tblInd w:w="600" w:type="dxa"/>
          <w:tblCellMar>
            <w:top w:w="14" w:type="dxa"/>
            <w:left w:w="115" w:type="dxa"/>
            <w:bottom w:w="14" w:type="dxa"/>
            <w:right w:w="115" w:type="dxa"/>
          </w:tblCellMar>
          <w:tblLook w:val="04A0"/>
        </w:tblPrEx>
        <w:tc>
          <w:tcPr>
            <w:tcW w:w="1795" w:type="dxa"/>
            <w:tcBorders>
              <w:top w:val="nil"/>
              <w:left w:val="single" w:sz="8" w:space="0" w:color="auto"/>
              <w:bottom w:val="single" w:sz="8" w:space="0" w:color="auto"/>
              <w:right w:val="single" w:sz="8" w:space="0" w:color="auto"/>
            </w:tcBorders>
            <w:shd w:val="clear" w:color="auto" w:fill="auto"/>
            <w:vAlign w:val="center"/>
          </w:tcPr>
          <w:p w:rsidR="001E132A" w:rsidRPr="001E132A" w:rsidP="001E132A" w14:paraId="45BC0BD5" w14:textId="78577F40">
            <w:pPr>
              <w:jc w:val="center"/>
              <w:rPr>
                <w:rFonts w:ascii="Times New Roman" w:hAnsi="Times New Roman"/>
                <w:sz w:val="24"/>
                <w:szCs w:val="24"/>
              </w:rPr>
            </w:pPr>
            <w:r w:rsidRPr="005C2DFF">
              <w:rPr>
                <w:rFonts w:ascii="Times New Roman" w:hAnsi="Times New Roman"/>
                <w:color w:val="000000"/>
                <w:sz w:val="24"/>
                <w:szCs w:val="24"/>
              </w:rPr>
              <w:t>2022</w:t>
            </w:r>
          </w:p>
        </w:tc>
        <w:tc>
          <w:tcPr>
            <w:tcW w:w="1980" w:type="dxa"/>
            <w:tcBorders>
              <w:top w:val="nil"/>
              <w:left w:val="nil"/>
              <w:bottom w:val="single" w:sz="8" w:space="0" w:color="auto"/>
              <w:right w:val="single" w:sz="8" w:space="0" w:color="auto"/>
            </w:tcBorders>
            <w:shd w:val="clear" w:color="auto" w:fill="auto"/>
            <w:vAlign w:val="center"/>
          </w:tcPr>
          <w:p w:rsidR="001E132A" w:rsidRPr="001E132A" w:rsidP="001E132A" w14:paraId="5A1EC33E" w14:textId="1DDAF9FF">
            <w:pPr>
              <w:jc w:val="center"/>
              <w:rPr>
                <w:rFonts w:ascii="Times New Roman" w:hAnsi="Times New Roman"/>
                <w:sz w:val="24"/>
                <w:szCs w:val="24"/>
              </w:rPr>
            </w:pPr>
            <w:r w:rsidRPr="005C2DFF">
              <w:rPr>
                <w:rFonts w:ascii="Times New Roman" w:hAnsi="Times New Roman"/>
                <w:color w:val="000000"/>
                <w:sz w:val="24"/>
                <w:szCs w:val="24"/>
              </w:rPr>
              <w:t>3,665</w:t>
            </w:r>
          </w:p>
        </w:tc>
        <w:tc>
          <w:tcPr>
            <w:tcW w:w="2160" w:type="dxa"/>
            <w:tcBorders>
              <w:top w:val="nil"/>
              <w:left w:val="nil"/>
              <w:bottom w:val="single" w:sz="8" w:space="0" w:color="auto"/>
              <w:right w:val="single" w:sz="8" w:space="0" w:color="auto"/>
            </w:tcBorders>
            <w:shd w:val="clear" w:color="auto" w:fill="auto"/>
            <w:vAlign w:val="center"/>
          </w:tcPr>
          <w:p w:rsidR="001E132A" w:rsidRPr="001E132A" w:rsidP="001E132A" w14:paraId="69350BB2" w14:textId="2752A4E4">
            <w:pPr>
              <w:jc w:val="center"/>
              <w:rPr>
                <w:rFonts w:ascii="Times New Roman" w:hAnsi="Times New Roman"/>
                <w:sz w:val="24"/>
                <w:szCs w:val="24"/>
                <w:highlight w:val="yellow"/>
              </w:rPr>
            </w:pPr>
            <w:r w:rsidRPr="005C2DFF">
              <w:rPr>
                <w:rFonts w:ascii="Times New Roman" w:hAnsi="Times New Roman"/>
                <w:color w:val="000000"/>
                <w:sz w:val="24"/>
                <w:szCs w:val="24"/>
              </w:rPr>
              <w:t>586</w:t>
            </w:r>
          </w:p>
        </w:tc>
        <w:tc>
          <w:tcPr>
            <w:tcW w:w="2970" w:type="dxa"/>
            <w:tcBorders>
              <w:top w:val="nil"/>
              <w:left w:val="nil"/>
              <w:bottom w:val="single" w:sz="8" w:space="0" w:color="auto"/>
              <w:right w:val="single" w:sz="8" w:space="0" w:color="auto"/>
            </w:tcBorders>
            <w:shd w:val="clear" w:color="auto" w:fill="auto"/>
            <w:vAlign w:val="center"/>
          </w:tcPr>
          <w:p w:rsidR="001E132A" w:rsidRPr="001E132A" w:rsidP="001E132A" w14:paraId="330E9444" w14:textId="4E7AB6B4">
            <w:pPr>
              <w:jc w:val="center"/>
              <w:rPr>
                <w:rFonts w:ascii="Times New Roman" w:hAnsi="Times New Roman"/>
                <w:b/>
                <w:sz w:val="24"/>
                <w:szCs w:val="24"/>
                <w:highlight w:val="yellow"/>
              </w:rPr>
            </w:pPr>
            <w:r w:rsidRPr="005C2DFF">
              <w:rPr>
                <w:rFonts w:ascii="Times New Roman" w:hAnsi="Times New Roman"/>
                <w:b/>
                <w:bCs/>
                <w:color w:val="000000"/>
                <w:sz w:val="24"/>
                <w:szCs w:val="24"/>
              </w:rPr>
              <w:t>4,252</w:t>
            </w:r>
          </w:p>
        </w:tc>
      </w:tr>
      <w:tr w14:paraId="53B3C045" w14:textId="77777777" w:rsidTr="005A7B6A">
        <w:tblPrEx>
          <w:tblW w:w="8905" w:type="dxa"/>
          <w:tblInd w:w="600" w:type="dxa"/>
          <w:tblCellMar>
            <w:top w:w="14" w:type="dxa"/>
            <w:left w:w="115" w:type="dxa"/>
            <w:bottom w:w="14" w:type="dxa"/>
            <w:right w:w="115" w:type="dxa"/>
          </w:tblCellMar>
          <w:tblLook w:val="04A0"/>
        </w:tblPrEx>
        <w:tc>
          <w:tcPr>
            <w:tcW w:w="1795" w:type="dxa"/>
            <w:tcBorders>
              <w:top w:val="nil"/>
              <w:left w:val="single" w:sz="8" w:space="0" w:color="auto"/>
              <w:bottom w:val="single" w:sz="8" w:space="0" w:color="auto"/>
              <w:right w:val="single" w:sz="8" w:space="0" w:color="auto"/>
            </w:tcBorders>
            <w:shd w:val="clear" w:color="auto" w:fill="auto"/>
            <w:vAlign w:val="center"/>
          </w:tcPr>
          <w:p w:rsidR="001E132A" w:rsidRPr="001E132A" w:rsidP="001E132A" w14:paraId="213A189F" w14:textId="43662FD8">
            <w:pPr>
              <w:jc w:val="center"/>
              <w:rPr>
                <w:rFonts w:ascii="Times New Roman" w:hAnsi="Times New Roman"/>
                <w:sz w:val="24"/>
                <w:szCs w:val="24"/>
              </w:rPr>
            </w:pPr>
            <w:r w:rsidRPr="005C2DFF">
              <w:rPr>
                <w:rFonts w:ascii="Times New Roman" w:hAnsi="Times New Roman"/>
                <w:color w:val="000000"/>
                <w:sz w:val="24"/>
                <w:szCs w:val="24"/>
              </w:rPr>
              <w:t>2023</w:t>
            </w:r>
          </w:p>
        </w:tc>
        <w:tc>
          <w:tcPr>
            <w:tcW w:w="1980" w:type="dxa"/>
            <w:tcBorders>
              <w:top w:val="nil"/>
              <w:left w:val="nil"/>
              <w:bottom w:val="single" w:sz="8" w:space="0" w:color="auto"/>
              <w:right w:val="single" w:sz="8" w:space="0" w:color="auto"/>
            </w:tcBorders>
            <w:shd w:val="clear" w:color="auto" w:fill="auto"/>
            <w:vAlign w:val="center"/>
          </w:tcPr>
          <w:p w:rsidR="001E132A" w:rsidRPr="001E132A" w:rsidP="001E132A" w14:paraId="4CCF5710" w14:textId="1330E0FD">
            <w:pPr>
              <w:jc w:val="center"/>
              <w:rPr>
                <w:rFonts w:ascii="Times New Roman" w:hAnsi="Times New Roman"/>
                <w:sz w:val="24"/>
                <w:szCs w:val="24"/>
              </w:rPr>
            </w:pPr>
            <w:r w:rsidRPr="005C2DFF">
              <w:rPr>
                <w:rFonts w:ascii="Times New Roman" w:hAnsi="Times New Roman"/>
                <w:color w:val="000000"/>
                <w:sz w:val="24"/>
                <w:szCs w:val="24"/>
              </w:rPr>
              <w:t>3,665</w:t>
            </w:r>
          </w:p>
        </w:tc>
        <w:tc>
          <w:tcPr>
            <w:tcW w:w="2160" w:type="dxa"/>
            <w:tcBorders>
              <w:top w:val="nil"/>
              <w:left w:val="nil"/>
              <w:bottom w:val="single" w:sz="8" w:space="0" w:color="auto"/>
              <w:right w:val="single" w:sz="8" w:space="0" w:color="auto"/>
            </w:tcBorders>
            <w:shd w:val="clear" w:color="auto" w:fill="auto"/>
            <w:vAlign w:val="center"/>
          </w:tcPr>
          <w:p w:rsidR="001E132A" w:rsidRPr="001E132A" w:rsidP="001E132A" w14:paraId="494BEFB5" w14:textId="6F26CC74">
            <w:pPr>
              <w:jc w:val="center"/>
              <w:rPr>
                <w:rFonts w:ascii="Times New Roman" w:hAnsi="Times New Roman"/>
                <w:sz w:val="24"/>
                <w:szCs w:val="24"/>
                <w:highlight w:val="yellow"/>
              </w:rPr>
            </w:pPr>
            <w:r w:rsidRPr="005C2DFF">
              <w:rPr>
                <w:rFonts w:ascii="Times New Roman" w:hAnsi="Times New Roman"/>
                <w:color w:val="000000"/>
                <w:sz w:val="24"/>
                <w:szCs w:val="24"/>
              </w:rPr>
              <w:t>586</w:t>
            </w:r>
          </w:p>
        </w:tc>
        <w:tc>
          <w:tcPr>
            <w:tcW w:w="2970" w:type="dxa"/>
            <w:tcBorders>
              <w:top w:val="nil"/>
              <w:left w:val="nil"/>
              <w:bottom w:val="single" w:sz="8" w:space="0" w:color="auto"/>
              <w:right w:val="single" w:sz="8" w:space="0" w:color="auto"/>
            </w:tcBorders>
            <w:shd w:val="clear" w:color="auto" w:fill="auto"/>
            <w:vAlign w:val="center"/>
          </w:tcPr>
          <w:p w:rsidR="001E132A" w:rsidRPr="001E132A" w:rsidP="001E132A" w14:paraId="0137C601" w14:textId="382BCF19">
            <w:pPr>
              <w:jc w:val="center"/>
              <w:rPr>
                <w:rFonts w:ascii="Times New Roman" w:hAnsi="Times New Roman"/>
                <w:b/>
                <w:sz w:val="24"/>
                <w:szCs w:val="24"/>
                <w:highlight w:val="yellow"/>
              </w:rPr>
            </w:pPr>
            <w:r w:rsidRPr="005C2DFF">
              <w:rPr>
                <w:rFonts w:ascii="Times New Roman" w:hAnsi="Times New Roman"/>
                <w:b/>
                <w:bCs/>
                <w:color w:val="000000"/>
                <w:sz w:val="24"/>
                <w:szCs w:val="24"/>
              </w:rPr>
              <w:t>4,252</w:t>
            </w:r>
          </w:p>
        </w:tc>
      </w:tr>
      <w:tr w14:paraId="34F36499" w14:textId="77777777" w:rsidTr="005A7B6A">
        <w:tblPrEx>
          <w:tblW w:w="8905" w:type="dxa"/>
          <w:tblInd w:w="600" w:type="dxa"/>
          <w:tblCellMar>
            <w:top w:w="14" w:type="dxa"/>
            <w:left w:w="115" w:type="dxa"/>
            <w:bottom w:w="14" w:type="dxa"/>
            <w:right w:w="115" w:type="dxa"/>
          </w:tblCellMar>
          <w:tblLook w:val="04A0"/>
        </w:tblPrEx>
        <w:tc>
          <w:tcPr>
            <w:tcW w:w="1795" w:type="dxa"/>
            <w:tcBorders>
              <w:top w:val="nil"/>
              <w:left w:val="single" w:sz="8" w:space="0" w:color="auto"/>
              <w:bottom w:val="single" w:sz="8" w:space="0" w:color="auto"/>
              <w:right w:val="single" w:sz="8" w:space="0" w:color="auto"/>
            </w:tcBorders>
            <w:shd w:val="clear" w:color="auto" w:fill="auto"/>
            <w:vAlign w:val="center"/>
          </w:tcPr>
          <w:p w:rsidR="001E132A" w:rsidRPr="001E132A" w:rsidP="001E132A" w14:paraId="31E401D7" w14:textId="799EA7C7">
            <w:pPr>
              <w:jc w:val="center"/>
              <w:rPr>
                <w:rFonts w:ascii="Times New Roman" w:hAnsi="Times New Roman"/>
                <w:sz w:val="24"/>
                <w:szCs w:val="24"/>
              </w:rPr>
            </w:pPr>
            <w:r w:rsidRPr="005C2DFF">
              <w:rPr>
                <w:rFonts w:ascii="Times New Roman" w:hAnsi="Times New Roman"/>
                <w:color w:val="000000"/>
                <w:sz w:val="24"/>
                <w:szCs w:val="24"/>
              </w:rPr>
              <w:t>2024</w:t>
            </w:r>
          </w:p>
        </w:tc>
        <w:tc>
          <w:tcPr>
            <w:tcW w:w="1980" w:type="dxa"/>
            <w:tcBorders>
              <w:top w:val="nil"/>
              <w:left w:val="nil"/>
              <w:bottom w:val="single" w:sz="8" w:space="0" w:color="auto"/>
              <w:right w:val="single" w:sz="8" w:space="0" w:color="auto"/>
            </w:tcBorders>
            <w:shd w:val="clear" w:color="auto" w:fill="auto"/>
            <w:vAlign w:val="center"/>
          </w:tcPr>
          <w:p w:rsidR="001E132A" w:rsidRPr="001E132A" w:rsidP="001E132A" w14:paraId="13277431" w14:textId="57CF5561">
            <w:pPr>
              <w:jc w:val="center"/>
              <w:rPr>
                <w:rFonts w:ascii="Times New Roman" w:hAnsi="Times New Roman"/>
                <w:sz w:val="24"/>
                <w:szCs w:val="24"/>
              </w:rPr>
            </w:pPr>
            <w:r w:rsidRPr="005C2DFF">
              <w:rPr>
                <w:rFonts w:ascii="Times New Roman" w:hAnsi="Times New Roman"/>
                <w:color w:val="000000"/>
                <w:sz w:val="24"/>
                <w:szCs w:val="24"/>
              </w:rPr>
              <w:t>3,665</w:t>
            </w:r>
          </w:p>
        </w:tc>
        <w:tc>
          <w:tcPr>
            <w:tcW w:w="2160" w:type="dxa"/>
            <w:tcBorders>
              <w:top w:val="nil"/>
              <w:left w:val="nil"/>
              <w:bottom w:val="single" w:sz="8" w:space="0" w:color="auto"/>
              <w:right w:val="single" w:sz="8" w:space="0" w:color="auto"/>
            </w:tcBorders>
            <w:shd w:val="clear" w:color="auto" w:fill="auto"/>
            <w:vAlign w:val="center"/>
          </w:tcPr>
          <w:p w:rsidR="001E132A" w:rsidRPr="001E132A" w:rsidP="001E132A" w14:paraId="6BA14288" w14:textId="59FCA927">
            <w:pPr>
              <w:jc w:val="center"/>
              <w:rPr>
                <w:rFonts w:ascii="Times New Roman" w:hAnsi="Times New Roman"/>
                <w:sz w:val="24"/>
                <w:szCs w:val="24"/>
                <w:highlight w:val="yellow"/>
              </w:rPr>
            </w:pPr>
            <w:r w:rsidRPr="005C2DFF">
              <w:rPr>
                <w:rFonts w:ascii="Times New Roman" w:hAnsi="Times New Roman"/>
                <w:color w:val="000000"/>
                <w:sz w:val="24"/>
                <w:szCs w:val="24"/>
              </w:rPr>
              <w:t>586</w:t>
            </w:r>
          </w:p>
        </w:tc>
        <w:tc>
          <w:tcPr>
            <w:tcW w:w="2970" w:type="dxa"/>
            <w:tcBorders>
              <w:top w:val="nil"/>
              <w:left w:val="nil"/>
              <w:bottom w:val="single" w:sz="8" w:space="0" w:color="auto"/>
              <w:right w:val="single" w:sz="8" w:space="0" w:color="auto"/>
            </w:tcBorders>
            <w:shd w:val="clear" w:color="auto" w:fill="auto"/>
            <w:vAlign w:val="center"/>
          </w:tcPr>
          <w:p w:rsidR="001E132A" w:rsidRPr="001E132A" w:rsidP="001E132A" w14:paraId="2482473B" w14:textId="3E3558CC">
            <w:pPr>
              <w:jc w:val="center"/>
              <w:rPr>
                <w:rFonts w:ascii="Times New Roman" w:hAnsi="Times New Roman"/>
                <w:b/>
                <w:sz w:val="24"/>
                <w:szCs w:val="24"/>
                <w:highlight w:val="yellow"/>
              </w:rPr>
            </w:pPr>
            <w:r w:rsidRPr="005C2DFF">
              <w:rPr>
                <w:rFonts w:ascii="Times New Roman" w:hAnsi="Times New Roman"/>
                <w:b/>
                <w:bCs/>
                <w:color w:val="000000"/>
                <w:sz w:val="24"/>
                <w:szCs w:val="24"/>
              </w:rPr>
              <w:t>4,252</w:t>
            </w:r>
          </w:p>
        </w:tc>
      </w:tr>
      <w:tr w14:paraId="7FA93D43" w14:textId="77777777" w:rsidTr="005A7B6A">
        <w:tblPrEx>
          <w:tblW w:w="8905" w:type="dxa"/>
          <w:tblInd w:w="600" w:type="dxa"/>
          <w:tblCellMar>
            <w:top w:w="14" w:type="dxa"/>
            <w:left w:w="115" w:type="dxa"/>
            <w:bottom w:w="14" w:type="dxa"/>
            <w:right w:w="115" w:type="dxa"/>
          </w:tblCellMar>
          <w:tblLook w:val="04A0"/>
        </w:tblPrEx>
        <w:tc>
          <w:tcPr>
            <w:tcW w:w="1795" w:type="dxa"/>
            <w:tcBorders>
              <w:top w:val="nil"/>
              <w:left w:val="single" w:sz="8" w:space="0" w:color="auto"/>
              <w:bottom w:val="single" w:sz="4" w:space="0" w:color="auto"/>
              <w:right w:val="single" w:sz="8" w:space="0" w:color="auto"/>
            </w:tcBorders>
            <w:shd w:val="clear" w:color="auto" w:fill="auto"/>
            <w:vAlign w:val="center"/>
          </w:tcPr>
          <w:p w:rsidR="001E132A" w:rsidRPr="001E132A" w:rsidP="001E132A" w14:paraId="786703F7" w14:textId="10766040">
            <w:pPr>
              <w:jc w:val="center"/>
              <w:rPr>
                <w:rFonts w:ascii="Times New Roman" w:hAnsi="Times New Roman"/>
                <w:b/>
                <w:sz w:val="24"/>
                <w:szCs w:val="24"/>
              </w:rPr>
            </w:pPr>
            <w:r w:rsidRPr="005C2DFF">
              <w:rPr>
                <w:rFonts w:ascii="Times New Roman" w:hAnsi="Times New Roman"/>
                <w:b/>
                <w:bCs/>
                <w:color w:val="000000"/>
                <w:sz w:val="24"/>
                <w:szCs w:val="24"/>
              </w:rPr>
              <w:t>Total</w:t>
            </w:r>
          </w:p>
        </w:tc>
        <w:tc>
          <w:tcPr>
            <w:tcW w:w="1980" w:type="dxa"/>
            <w:tcBorders>
              <w:top w:val="nil"/>
              <w:left w:val="nil"/>
              <w:bottom w:val="single" w:sz="4" w:space="0" w:color="auto"/>
              <w:right w:val="single" w:sz="8" w:space="0" w:color="auto"/>
            </w:tcBorders>
            <w:shd w:val="clear" w:color="auto" w:fill="auto"/>
            <w:vAlign w:val="center"/>
          </w:tcPr>
          <w:p w:rsidR="001E132A" w:rsidRPr="001E132A" w:rsidP="001E132A" w14:paraId="23101863" w14:textId="39CB7FFC">
            <w:pPr>
              <w:jc w:val="center"/>
              <w:rPr>
                <w:rFonts w:ascii="Times New Roman" w:hAnsi="Times New Roman"/>
                <w:b/>
                <w:sz w:val="24"/>
                <w:szCs w:val="24"/>
              </w:rPr>
            </w:pPr>
            <w:r w:rsidRPr="005C2DFF">
              <w:rPr>
                <w:rFonts w:ascii="Times New Roman" w:hAnsi="Times New Roman"/>
                <w:b/>
                <w:bCs/>
                <w:color w:val="000000"/>
                <w:sz w:val="24"/>
                <w:szCs w:val="24"/>
              </w:rPr>
              <w:t>10,996</w:t>
            </w:r>
          </w:p>
        </w:tc>
        <w:tc>
          <w:tcPr>
            <w:tcW w:w="2160" w:type="dxa"/>
            <w:tcBorders>
              <w:top w:val="nil"/>
              <w:left w:val="nil"/>
              <w:bottom w:val="single" w:sz="4" w:space="0" w:color="auto"/>
              <w:right w:val="single" w:sz="8" w:space="0" w:color="auto"/>
            </w:tcBorders>
            <w:shd w:val="clear" w:color="auto" w:fill="auto"/>
            <w:vAlign w:val="center"/>
          </w:tcPr>
          <w:p w:rsidR="001E132A" w:rsidRPr="001E132A" w:rsidP="001E132A" w14:paraId="3B8458F8" w14:textId="7F0A72AB">
            <w:pPr>
              <w:jc w:val="center"/>
              <w:rPr>
                <w:rFonts w:ascii="Times New Roman" w:hAnsi="Times New Roman"/>
                <w:b/>
                <w:sz w:val="24"/>
                <w:szCs w:val="24"/>
                <w:highlight w:val="yellow"/>
              </w:rPr>
            </w:pPr>
            <w:r w:rsidRPr="005C2DFF">
              <w:rPr>
                <w:rFonts w:ascii="Times New Roman" w:hAnsi="Times New Roman"/>
                <w:b/>
                <w:bCs/>
                <w:color w:val="000000"/>
                <w:sz w:val="24"/>
                <w:szCs w:val="24"/>
              </w:rPr>
              <w:t>1,759</w:t>
            </w:r>
          </w:p>
        </w:tc>
        <w:tc>
          <w:tcPr>
            <w:tcW w:w="2970" w:type="dxa"/>
            <w:tcBorders>
              <w:top w:val="nil"/>
              <w:left w:val="nil"/>
              <w:bottom w:val="single" w:sz="4" w:space="0" w:color="auto"/>
              <w:right w:val="single" w:sz="8" w:space="0" w:color="auto"/>
            </w:tcBorders>
            <w:shd w:val="clear" w:color="auto" w:fill="auto"/>
            <w:vAlign w:val="center"/>
          </w:tcPr>
          <w:p w:rsidR="001E132A" w:rsidRPr="001E132A" w:rsidP="001E132A" w14:paraId="5F55F51D" w14:textId="5D965175">
            <w:pPr>
              <w:jc w:val="center"/>
              <w:rPr>
                <w:rFonts w:ascii="Times New Roman" w:hAnsi="Times New Roman"/>
                <w:b/>
                <w:sz w:val="24"/>
                <w:szCs w:val="24"/>
                <w:highlight w:val="yellow"/>
              </w:rPr>
            </w:pPr>
            <w:r w:rsidRPr="005C2DFF">
              <w:rPr>
                <w:rFonts w:ascii="Times New Roman" w:hAnsi="Times New Roman"/>
                <w:b/>
                <w:bCs/>
                <w:color w:val="000000"/>
                <w:sz w:val="24"/>
                <w:szCs w:val="24"/>
              </w:rPr>
              <w:t>12,755</w:t>
            </w:r>
          </w:p>
        </w:tc>
      </w:tr>
      <w:tr w14:paraId="5068B3C5" w14:textId="77777777" w:rsidTr="005A7B6A">
        <w:tblPrEx>
          <w:tblW w:w="8905" w:type="dxa"/>
          <w:tblInd w:w="600" w:type="dxa"/>
          <w:tblCellMar>
            <w:top w:w="14" w:type="dxa"/>
            <w:left w:w="115" w:type="dxa"/>
            <w:bottom w:w="14" w:type="dxa"/>
            <w:right w:w="115" w:type="dxa"/>
          </w:tblCellMar>
          <w:tblLook w:val="04A0"/>
        </w:tblPrEx>
        <w:tc>
          <w:tcPr>
            <w:tcW w:w="1795" w:type="dxa"/>
            <w:tcBorders>
              <w:top w:val="single" w:sz="4" w:space="0" w:color="auto"/>
              <w:left w:val="single" w:sz="8" w:space="0" w:color="auto"/>
              <w:bottom w:val="single" w:sz="8" w:space="0" w:color="auto"/>
              <w:right w:val="single" w:sz="8" w:space="0" w:color="auto"/>
            </w:tcBorders>
            <w:shd w:val="clear" w:color="auto" w:fill="auto"/>
            <w:vAlign w:val="center"/>
          </w:tcPr>
          <w:p w:rsidR="00A1245B" w:rsidRPr="005C2DFF" w:rsidP="00A1245B" w14:paraId="7EE95029" w14:textId="77777777">
            <w:pPr>
              <w:jc w:val="center"/>
              <w:rPr>
                <w:rFonts w:ascii="Times New Roman" w:hAnsi="Times New Roman"/>
                <w:i/>
                <w:iCs/>
                <w:color w:val="000000"/>
                <w:sz w:val="24"/>
                <w:szCs w:val="24"/>
              </w:rPr>
            </w:pPr>
            <w:r w:rsidRPr="005C2DFF">
              <w:rPr>
                <w:rFonts w:ascii="Times New Roman" w:hAnsi="Times New Roman"/>
                <w:i/>
                <w:iCs/>
                <w:color w:val="000000"/>
                <w:sz w:val="24"/>
                <w:szCs w:val="24"/>
              </w:rPr>
              <w:t>Annual Average</w:t>
            </w:r>
          </w:p>
        </w:tc>
        <w:tc>
          <w:tcPr>
            <w:tcW w:w="1980" w:type="dxa"/>
            <w:tcBorders>
              <w:top w:val="single" w:sz="4" w:space="0" w:color="auto"/>
              <w:left w:val="nil"/>
              <w:bottom w:val="single" w:sz="8" w:space="0" w:color="auto"/>
              <w:right w:val="single" w:sz="8" w:space="0" w:color="auto"/>
            </w:tcBorders>
            <w:shd w:val="clear" w:color="auto" w:fill="auto"/>
            <w:vAlign w:val="center"/>
          </w:tcPr>
          <w:p w:rsidR="00A1245B" w:rsidRPr="005C2DFF" w:rsidP="00A1245B" w14:paraId="57B53FBC" w14:textId="77777777">
            <w:pPr>
              <w:jc w:val="center"/>
              <w:rPr>
                <w:rFonts w:ascii="Times New Roman" w:hAnsi="Times New Roman"/>
                <w:i/>
                <w:iCs/>
                <w:color w:val="000000"/>
                <w:sz w:val="24"/>
                <w:szCs w:val="24"/>
              </w:rPr>
            </w:pPr>
            <w:r w:rsidRPr="005C2DFF">
              <w:rPr>
                <w:rFonts w:ascii="Times New Roman" w:hAnsi="Times New Roman"/>
                <w:i/>
                <w:iCs/>
                <w:color w:val="000000"/>
                <w:sz w:val="24"/>
                <w:szCs w:val="24"/>
              </w:rPr>
              <w:t>3,665</w:t>
            </w:r>
          </w:p>
        </w:tc>
        <w:tc>
          <w:tcPr>
            <w:tcW w:w="2160" w:type="dxa"/>
            <w:tcBorders>
              <w:top w:val="single" w:sz="4" w:space="0" w:color="auto"/>
              <w:left w:val="nil"/>
              <w:bottom w:val="single" w:sz="8" w:space="0" w:color="auto"/>
              <w:right w:val="single" w:sz="8" w:space="0" w:color="auto"/>
            </w:tcBorders>
            <w:shd w:val="clear" w:color="auto" w:fill="auto"/>
            <w:vAlign w:val="center"/>
          </w:tcPr>
          <w:p w:rsidR="00A1245B" w:rsidRPr="005C2DFF" w:rsidP="00A1245B" w14:paraId="5F5AFF77" w14:textId="77777777">
            <w:pPr>
              <w:jc w:val="center"/>
              <w:rPr>
                <w:rFonts w:ascii="Times New Roman" w:hAnsi="Times New Roman"/>
                <w:i/>
                <w:iCs/>
                <w:color w:val="000000"/>
                <w:sz w:val="24"/>
                <w:szCs w:val="24"/>
              </w:rPr>
            </w:pPr>
            <w:r w:rsidRPr="005C2DFF">
              <w:rPr>
                <w:rFonts w:ascii="Times New Roman" w:hAnsi="Times New Roman"/>
                <w:i/>
                <w:iCs/>
                <w:color w:val="000000"/>
                <w:sz w:val="24"/>
                <w:szCs w:val="24"/>
              </w:rPr>
              <w:t>586</w:t>
            </w:r>
          </w:p>
        </w:tc>
        <w:tc>
          <w:tcPr>
            <w:tcW w:w="2970" w:type="dxa"/>
            <w:tcBorders>
              <w:top w:val="single" w:sz="4" w:space="0" w:color="auto"/>
              <w:left w:val="nil"/>
              <w:bottom w:val="single" w:sz="8" w:space="0" w:color="auto"/>
              <w:right w:val="single" w:sz="8" w:space="0" w:color="auto"/>
            </w:tcBorders>
            <w:shd w:val="clear" w:color="auto" w:fill="auto"/>
            <w:vAlign w:val="center"/>
          </w:tcPr>
          <w:p w:rsidR="00A1245B" w:rsidRPr="005C2DFF" w:rsidP="00A1245B" w14:paraId="41074ED9" w14:textId="77777777">
            <w:pPr>
              <w:jc w:val="center"/>
              <w:rPr>
                <w:rFonts w:ascii="Times New Roman" w:hAnsi="Times New Roman"/>
                <w:i/>
                <w:iCs/>
                <w:color w:val="000000"/>
                <w:sz w:val="24"/>
                <w:szCs w:val="24"/>
              </w:rPr>
            </w:pPr>
            <w:r w:rsidRPr="005C2DFF">
              <w:rPr>
                <w:rFonts w:ascii="Times New Roman" w:hAnsi="Times New Roman"/>
                <w:i/>
                <w:iCs/>
                <w:color w:val="000000"/>
                <w:sz w:val="24"/>
                <w:szCs w:val="24"/>
              </w:rPr>
              <w:t xml:space="preserve">$4,252 </w:t>
            </w:r>
          </w:p>
        </w:tc>
      </w:tr>
    </w:tbl>
    <w:p w:rsidR="00E9142F" w:rsidRPr="00644586" w:rsidP="00E9142F" w14:paraId="0D8A5CF8" w14:textId="58CA0439">
      <w:pPr>
        <w:ind w:left="360"/>
        <w:rPr>
          <w:rFonts w:ascii="Times New Roman" w:hAnsi="Times New Roman"/>
          <w:b/>
          <w:sz w:val="24"/>
          <w:szCs w:val="24"/>
        </w:rPr>
      </w:pPr>
      <w:r w:rsidRPr="00644586">
        <w:rPr>
          <w:rFonts w:ascii="Times New Roman" w:hAnsi="Times New Roman"/>
          <w:b/>
          <w:sz w:val="24"/>
          <w:szCs w:val="24"/>
        </w:rPr>
        <w:t xml:space="preserve">The total estimated number of </w:t>
      </w:r>
      <w:r>
        <w:rPr>
          <w:rFonts w:ascii="Times New Roman" w:hAnsi="Times New Roman"/>
          <w:b/>
          <w:sz w:val="24"/>
          <w:szCs w:val="24"/>
        </w:rPr>
        <w:t>applications prescreened</w:t>
      </w:r>
      <w:r w:rsidRPr="00644586">
        <w:rPr>
          <w:rFonts w:ascii="Times New Roman" w:hAnsi="Times New Roman"/>
          <w:b/>
          <w:sz w:val="24"/>
          <w:szCs w:val="24"/>
        </w:rPr>
        <w:t xml:space="preserve"> is </w:t>
      </w:r>
      <w:r w:rsidR="00D41861">
        <w:rPr>
          <w:rFonts w:ascii="Times New Roman" w:hAnsi="Times New Roman"/>
          <w:b/>
          <w:sz w:val="24"/>
          <w:szCs w:val="24"/>
        </w:rPr>
        <w:t>10,996</w:t>
      </w:r>
      <w:r w:rsidRPr="00644586">
        <w:rPr>
          <w:rFonts w:ascii="Times New Roman" w:hAnsi="Times New Roman"/>
          <w:sz w:val="24"/>
          <w:szCs w:val="24"/>
        </w:rPr>
        <w:t xml:space="preserve"> [</w:t>
      </w:r>
      <w:r w:rsidR="00366479">
        <w:rPr>
          <w:rFonts w:ascii="Times New Roman" w:hAnsi="Times New Roman"/>
          <w:sz w:val="24"/>
          <w:szCs w:val="24"/>
        </w:rPr>
        <w:t>3,665</w:t>
      </w:r>
      <w:r w:rsidRPr="00644586">
        <w:rPr>
          <w:rFonts w:ascii="Times New Roman" w:hAnsi="Times New Roman"/>
          <w:sz w:val="24"/>
          <w:szCs w:val="24"/>
        </w:rPr>
        <w:t xml:space="preserve"> in </w:t>
      </w:r>
      <w:r w:rsidR="00366479">
        <w:rPr>
          <w:rFonts w:ascii="Times New Roman" w:hAnsi="Times New Roman"/>
          <w:sz w:val="24"/>
          <w:szCs w:val="24"/>
        </w:rPr>
        <w:t>2022</w:t>
      </w:r>
      <w:r w:rsidRPr="00644586">
        <w:rPr>
          <w:rFonts w:ascii="Times New Roman" w:hAnsi="Times New Roman"/>
          <w:sz w:val="24"/>
          <w:szCs w:val="24"/>
        </w:rPr>
        <w:t xml:space="preserve"> + </w:t>
      </w:r>
      <w:r w:rsidR="00366479">
        <w:rPr>
          <w:rFonts w:ascii="Times New Roman" w:hAnsi="Times New Roman"/>
          <w:sz w:val="24"/>
          <w:szCs w:val="24"/>
        </w:rPr>
        <w:t>3,665</w:t>
      </w:r>
      <w:r w:rsidRPr="00644586">
        <w:rPr>
          <w:rFonts w:ascii="Times New Roman" w:hAnsi="Times New Roman"/>
          <w:sz w:val="24"/>
          <w:szCs w:val="24"/>
        </w:rPr>
        <w:t xml:space="preserve"> in 20</w:t>
      </w:r>
      <w:r w:rsidR="00B06236">
        <w:rPr>
          <w:rFonts w:ascii="Times New Roman" w:hAnsi="Times New Roman"/>
          <w:sz w:val="24"/>
          <w:szCs w:val="24"/>
        </w:rPr>
        <w:t>2</w:t>
      </w:r>
      <w:r w:rsidR="00366479">
        <w:rPr>
          <w:rFonts w:ascii="Times New Roman" w:hAnsi="Times New Roman"/>
          <w:sz w:val="24"/>
          <w:szCs w:val="24"/>
        </w:rPr>
        <w:t>3</w:t>
      </w:r>
      <w:r w:rsidRPr="00644586">
        <w:rPr>
          <w:rFonts w:ascii="Times New Roman" w:hAnsi="Times New Roman"/>
          <w:sz w:val="24"/>
          <w:szCs w:val="24"/>
        </w:rPr>
        <w:t xml:space="preserve"> + </w:t>
      </w:r>
      <w:r w:rsidR="00366479">
        <w:rPr>
          <w:rFonts w:ascii="Times New Roman" w:hAnsi="Times New Roman"/>
          <w:sz w:val="24"/>
          <w:szCs w:val="24"/>
        </w:rPr>
        <w:t>3</w:t>
      </w:r>
      <w:r w:rsidR="00F9250A">
        <w:rPr>
          <w:rFonts w:ascii="Times New Roman" w:hAnsi="Times New Roman"/>
          <w:sz w:val="24"/>
          <w:szCs w:val="24"/>
        </w:rPr>
        <w:t>,665</w:t>
      </w:r>
      <w:r>
        <w:rPr>
          <w:rFonts w:ascii="Times New Roman" w:hAnsi="Times New Roman"/>
          <w:sz w:val="24"/>
          <w:szCs w:val="24"/>
        </w:rPr>
        <w:t xml:space="preserve"> </w:t>
      </w:r>
      <w:r w:rsidRPr="00644586">
        <w:rPr>
          <w:rFonts w:ascii="Times New Roman" w:hAnsi="Times New Roman"/>
          <w:sz w:val="24"/>
          <w:szCs w:val="24"/>
        </w:rPr>
        <w:t>in 20</w:t>
      </w:r>
      <w:r w:rsidR="00B06236">
        <w:rPr>
          <w:rFonts w:ascii="Times New Roman" w:hAnsi="Times New Roman"/>
          <w:sz w:val="24"/>
          <w:szCs w:val="24"/>
        </w:rPr>
        <w:t>2</w:t>
      </w:r>
      <w:r w:rsidR="00F9250A">
        <w:rPr>
          <w:rFonts w:ascii="Times New Roman" w:hAnsi="Times New Roman"/>
          <w:sz w:val="24"/>
          <w:szCs w:val="24"/>
        </w:rPr>
        <w:t>4</w:t>
      </w:r>
      <w:r w:rsidR="00B06236">
        <w:rPr>
          <w:rFonts w:ascii="Times New Roman" w:hAnsi="Times New Roman"/>
          <w:sz w:val="24"/>
          <w:szCs w:val="24"/>
        </w:rPr>
        <w:t>]</w:t>
      </w:r>
      <w:r w:rsidRPr="00644586">
        <w:rPr>
          <w:rFonts w:ascii="Times New Roman" w:hAnsi="Times New Roman"/>
          <w:sz w:val="24"/>
          <w:szCs w:val="24"/>
        </w:rPr>
        <w:t>.</w:t>
      </w:r>
    </w:p>
    <w:p w:rsidR="00E9142F" w:rsidRPr="00644586" w:rsidP="00E9142F" w14:paraId="101D56FC" w14:textId="77777777">
      <w:pPr>
        <w:ind w:left="360"/>
        <w:rPr>
          <w:rFonts w:ascii="Times New Roman" w:hAnsi="Times New Roman"/>
          <w:b/>
          <w:sz w:val="24"/>
          <w:szCs w:val="24"/>
        </w:rPr>
      </w:pPr>
    </w:p>
    <w:p w:rsidR="00E9142F" w:rsidP="00E9142F" w14:paraId="509EC090" w14:textId="1B689E7D">
      <w:pPr>
        <w:ind w:left="360"/>
        <w:rPr>
          <w:rFonts w:ascii="Times New Roman" w:hAnsi="Times New Roman"/>
          <w:sz w:val="24"/>
          <w:szCs w:val="24"/>
        </w:rPr>
      </w:pPr>
      <w:r w:rsidRPr="00644586">
        <w:rPr>
          <w:rFonts w:ascii="Times New Roman" w:hAnsi="Times New Roman"/>
          <w:b/>
          <w:sz w:val="24"/>
          <w:szCs w:val="24"/>
        </w:rPr>
        <w:t xml:space="preserve">The </w:t>
      </w:r>
      <w:r w:rsidR="00C84669">
        <w:rPr>
          <w:rFonts w:ascii="Times New Roman" w:hAnsi="Times New Roman"/>
          <w:b/>
          <w:sz w:val="24"/>
          <w:szCs w:val="24"/>
        </w:rPr>
        <w:t xml:space="preserve">average </w:t>
      </w:r>
      <w:r w:rsidRPr="00644586">
        <w:rPr>
          <w:rFonts w:ascii="Times New Roman" w:hAnsi="Times New Roman"/>
          <w:b/>
          <w:sz w:val="24"/>
          <w:szCs w:val="24"/>
        </w:rPr>
        <w:t xml:space="preserve">annual number of </w:t>
      </w:r>
      <w:r>
        <w:rPr>
          <w:rFonts w:ascii="Times New Roman" w:hAnsi="Times New Roman"/>
          <w:b/>
          <w:sz w:val="24"/>
          <w:szCs w:val="24"/>
        </w:rPr>
        <w:t xml:space="preserve">applications prescreened is </w:t>
      </w:r>
      <w:r w:rsidR="0028748B">
        <w:rPr>
          <w:rFonts w:ascii="Times New Roman" w:hAnsi="Times New Roman"/>
          <w:b/>
          <w:sz w:val="24"/>
          <w:szCs w:val="24"/>
        </w:rPr>
        <w:t>3,665</w:t>
      </w:r>
      <w:r w:rsidRPr="00644586">
        <w:rPr>
          <w:rFonts w:ascii="Times New Roman" w:hAnsi="Times New Roman"/>
          <w:b/>
          <w:sz w:val="24"/>
          <w:szCs w:val="24"/>
        </w:rPr>
        <w:t xml:space="preserve"> </w:t>
      </w:r>
      <w:r w:rsidRPr="00644586">
        <w:rPr>
          <w:rFonts w:ascii="Times New Roman" w:hAnsi="Times New Roman"/>
          <w:sz w:val="24"/>
          <w:szCs w:val="24"/>
        </w:rPr>
        <w:t>[</w:t>
      </w:r>
      <w:r w:rsidR="0028748B">
        <w:rPr>
          <w:rFonts w:ascii="Times New Roman" w:hAnsi="Times New Roman"/>
          <w:sz w:val="24"/>
          <w:szCs w:val="24"/>
        </w:rPr>
        <w:t>10,996</w:t>
      </w:r>
      <w:r w:rsidR="00B06236">
        <w:rPr>
          <w:rFonts w:ascii="Times New Roman" w:hAnsi="Times New Roman"/>
          <w:sz w:val="24"/>
          <w:szCs w:val="24"/>
        </w:rPr>
        <w:t xml:space="preserve"> total prescreened/3 years</w:t>
      </w:r>
      <w:r w:rsidRPr="00644586">
        <w:rPr>
          <w:rFonts w:ascii="Times New Roman" w:hAnsi="Times New Roman"/>
          <w:sz w:val="24"/>
          <w:szCs w:val="24"/>
        </w:rPr>
        <w:t>].</w:t>
      </w:r>
    </w:p>
    <w:p w:rsidR="00E9142F" w:rsidP="00E9142F" w14:paraId="754E24EF" w14:textId="77777777">
      <w:pPr>
        <w:ind w:left="360"/>
        <w:rPr>
          <w:rFonts w:ascii="Times New Roman" w:hAnsi="Times New Roman"/>
          <w:sz w:val="24"/>
          <w:szCs w:val="24"/>
        </w:rPr>
      </w:pPr>
    </w:p>
    <w:p w:rsidR="00E9142F" w:rsidP="00E9142F" w14:paraId="51EBCFBF" w14:textId="3C935BF7">
      <w:pPr>
        <w:ind w:left="360"/>
        <w:rPr>
          <w:rFonts w:ascii="Times New Roman" w:hAnsi="Times New Roman"/>
          <w:sz w:val="24"/>
          <w:szCs w:val="24"/>
        </w:rPr>
      </w:pPr>
      <w:r w:rsidRPr="00644586">
        <w:rPr>
          <w:rFonts w:ascii="Times New Roman" w:hAnsi="Times New Roman"/>
          <w:b/>
          <w:sz w:val="24"/>
          <w:szCs w:val="24"/>
        </w:rPr>
        <w:t xml:space="preserve">The total estimated number of </w:t>
      </w:r>
      <w:r>
        <w:rPr>
          <w:rFonts w:ascii="Times New Roman" w:hAnsi="Times New Roman"/>
          <w:b/>
          <w:sz w:val="24"/>
          <w:szCs w:val="24"/>
        </w:rPr>
        <w:t>applications fully investigated</w:t>
      </w:r>
      <w:r w:rsidRPr="00644586">
        <w:rPr>
          <w:rFonts w:ascii="Times New Roman" w:hAnsi="Times New Roman"/>
          <w:b/>
          <w:sz w:val="24"/>
          <w:szCs w:val="24"/>
        </w:rPr>
        <w:t xml:space="preserve"> is </w:t>
      </w:r>
      <w:r w:rsidR="00C84669">
        <w:rPr>
          <w:rFonts w:ascii="Times New Roman" w:hAnsi="Times New Roman"/>
          <w:b/>
          <w:sz w:val="24"/>
          <w:szCs w:val="24"/>
        </w:rPr>
        <w:t>1,</w:t>
      </w:r>
      <w:r w:rsidR="0028748B">
        <w:rPr>
          <w:rFonts w:ascii="Times New Roman" w:hAnsi="Times New Roman"/>
          <w:b/>
          <w:sz w:val="24"/>
          <w:szCs w:val="24"/>
        </w:rPr>
        <w:t>759</w:t>
      </w:r>
      <w:r w:rsidRPr="00644586">
        <w:rPr>
          <w:rFonts w:ascii="Times New Roman" w:hAnsi="Times New Roman"/>
          <w:sz w:val="24"/>
          <w:szCs w:val="24"/>
        </w:rPr>
        <w:t xml:space="preserve"> [</w:t>
      </w:r>
      <w:r w:rsidR="0028748B">
        <w:rPr>
          <w:rFonts w:ascii="Times New Roman" w:hAnsi="Times New Roman"/>
          <w:sz w:val="24"/>
          <w:szCs w:val="24"/>
        </w:rPr>
        <w:t>586</w:t>
      </w:r>
      <w:r w:rsidRPr="00644586">
        <w:rPr>
          <w:rFonts w:ascii="Times New Roman" w:hAnsi="Times New Roman"/>
          <w:sz w:val="24"/>
          <w:szCs w:val="24"/>
        </w:rPr>
        <w:t xml:space="preserve"> in 20</w:t>
      </w:r>
      <w:r w:rsidR="0028748B">
        <w:rPr>
          <w:rFonts w:ascii="Times New Roman" w:hAnsi="Times New Roman"/>
          <w:sz w:val="24"/>
          <w:szCs w:val="24"/>
        </w:rPr>
        <w:t>22</w:t>
      </w:r>
      <w:r w:rsidRPr="00644586">
        <w:rPr>
          <w:rFonts w:ascii="Times New Roman" w:hAnsi="Times New Roman"/>
          <w:sz w:val="24"/>
          <w:szCs w:val="24"/>
        </w:rPr>
        <w:t xml:space="preserve"> + </w:t>
      </w:r>
      <w:r w:rsidR="00D23B61">
        <w:rPr>
          <w:rFonts w:ascii="Times New Roman" w:hAnsi="Times New Roman"/>
          <w:sz w:val="24"/>
          <w:szCs w:val="24"/>
        </w:rPr>
        <w:t>586</w:t>
      </w:r>
      <w:r w:rsidRPr="00644586">
        <w:rPr>
          <w:rFonts w:ascii="Times New Roman" w:hAnsi="Times New Roman"/>
          <w:sz w:val="24"/>
          <w:szCs w:val="24"/>
        </w:rPr>
        <w:t xml:space="preserve"> in 20</w:t>
      </w:r>
      <w:r w:rsidR="00C84669">
        <w:rPr>
          <w:rFonts w:ascii="Times New Roman" w:hAnsi="Times New Roman"/>
          <w:sz w:val="24"/>
          <w:szCs w:val="24"/>
        </w:rPr>
        <w:t>2</w:t>
      </w:r>
      <w:r w:rsidR="00D23B61">
        <w:rPr>
          <w:rFonts w:ascii="Times New Roman" w:hAnsi="Times New Roman"/>
          <w:sz w:val="24"/>
          <w:szCs w:val="24"/>
        </w:rPr>
        <w:t>3</w:t>
      </w:r>
      <w:r w:rsidRPr="00644586">
        <w:rPr>
          <w:rFonts w:ascii="Times New Roman" w:hAnsi="Times New Roman"/>
          <w:sz w:val="24"/>
          <w:szCs w:val="24"/>
        </w:rPr>
        <w:t xml:space="preserve"> + </w:t>
      </w:r>
      <w:r w:rsidR="00D23B61">
        <w:rPr>
          <w:rFonts w:ascii="Times New Roman" w:hAnsi="Times New Roman"/>
          <w:sz w:val="24"/>
          <w:szCs w:val="24"/>
        </w:rPr>
        <w:t>586</w:t>
      </w:r>
      <w:r>
        <w:rPr>
          <w:rFonts w:ascii="Times New Roman" w:hAnsi="Times New Roman"/>
          <w:sz w:val="24"/>
          <w:szCs w:val="24"/>
        </w:rPr>
        <w:t xml:space="preserve"> </w:t>
      </w:r>
      <w:r w:rsidRPr="00644586">
        <w:rPr>
          <w:rFonts w:ascii="Times New Roman" w:hAnsi="Times New Roman"/>
          <w:sz w:val="24"/>
          <w:szCs w:val="24"/>
        </w:rPr>
        <w:t>in 20</w:t>
      </w:r>
      <w:r w:rsidR="00C84669">
        <w:rPr>
          <w:rFonts w:ascii="Times New Roman" w:hAnsi="Times New Roman"/>
          <w:sz w:val="24"/>
          <w:szCs w:val="24"/>
        </w:rPr>
        <w:t>2</w:t>
      </w:r>
      <w:r w:rsidR="00D23B61">
        <w:rPr>
          <w:rFonts w:ascii="Times New Roman" w:hAnsi="Times New Roman"/>
          <w:sz w:val="24"/>
          <w:szCs w:val="24"/>
        </w:rPr>
        <w:t>4</w:t>
      </w:r>
      <w:r w:rsidRPr="00644586">
        <w:rPr>
          <w:rFonts w:ascii="Times New Roman" w:hAnsi="Times New Roman"/>
          <w:sz w:val="24"/>
          <w:szCs w:val="24"/>
        </w:rPr>
        <w:t>].</w:t>
      </w:r>
    </w:p>
    <w:p w:rsidR="00E9142F" w:rsidP="00E9142F" w14:paraId="5E8DB404" w14:textId="77777777">
      <w:pPr>
        <w:ind w:left="360"/>
        <w:rPr>
          <w:rFonts w:ascii="Times New Roman" w:hAnsi="Times New Roman"/>
          <w:sz w:val="24"/>
          <w:szCs w:val="24"/>
        </w:rPr>
      </w:pPr>
    </w:p>
    <w:p w:rsidR="00E9142F" w:rsidP="00E9142F" w14:paraId="7D3FF14A" w14:textId="534545F0">
      <w:pPr>
        <w:ind w:left="360"/>
        <w:rPr>
          <w:rFonts w:ascii="Times New Roman" w:hAnsi="Times New Roman"/>
          <w:sz w:val="24"/>
          <w:szCs w:val="24"/>
        </w:rPr>
      </w:pPr>
      <w:r w:rsidRPr="00644586">
        <w:rPr>
          <w:rFonts w:ascii="Times New Roman" w:hAnsi="Times New Roman"/>
          <w:b/>
          <w:sz w:val="24"/>
          <w:szCs w:val="24"/>
        </w:rPr>
        <w:t xml:space="preserve">The </w:t>
      </w:r>
      <w:r w:rsidR="00C84669">
        <w:rPr>
          <w:rFonts w:ascii="Times New Roman" w:hAnsi="Times New Roman"/>
          <w:b/>
          <w:sz w:val="24"/>
          <w:szCs w:val="24"/>
        </w:rPr>
        <w:t xml:space="preserve">average </w:t>
      </w:r>
      <w:r>
        <w:rPr>
          <w:rFonts w:ascii="Times New Roman" w:hAnsi="Times New Roman"/>
          <w:b/>
          <w:sz w:val="24"/>
          <w:szCs w:val="24"/>
        </w:rPr>
        <w:t>annual</w:t>
      </w:r>
      <w:r w:rsidRPr="00644586">
        <w:rPr>
          <w:rFonts w:ascii="Times New Roman" w:hAnsi="Times New Roman"/>
          <w:b/>
          <w:sz w:val="24"/>
          <w:szCs w:val="24"/>
        </w:rPr>
        <w:t xml:space="preserve"> number of </w:t>
      </w:r>
      <w:r>
        <w:rPr>
          <w:rFonts w:ascii="Times New Roman" w:hAnsi="Times New Roman"/>
          <w:b/>
          <w:sz w:val="24"/>
          <w:szCs w:val="24"/>
        </w:rPr>
        <w:t>applications fully investigated</w:t>
      </w:r>
      <w:r w:rsidRPr="00644586">
        <w:rPr>
          <w:rFonts w:ascii="Times New Roman" w:hAnsi="Times New Roman"/>
          <w:b/>
          <w:sz w:val="24"/>
          <w:szCs w:val="24"/>
        </w:rPr>
        <w:t xml:space="preserve"> is </w:t>
      </w:r>
      <w:r w:rsidR="00D23B61">
        <w:rPr>
          <w:rFonts w:ascii="Times New Roman" w:hAnsi="Times New Roman"/>
          <w:b/>
          <w:sz w:val="24"/>
          <w:szCs w:val="24"/>
        </w:rPr>
        <w:t>586</w:t>
      </w:r>
      <w:r w:rsidRPr="00644586">
        <w:rPr>
          <w:rFonts w:ascii="Times New Roman" w:hAnsi="Times New Roman"/>
          <w:sz w:val="24"/>
          <w:szCs w:val="24"/>
        </w:rPr>
        <w:t xml:space="preserve"> [</w:t>
      </w:r>
      <w:r w:rsidR="00D23B61">
        <w:rPr>
          <w:rFonts w:ascii="Times New Roman" w:hAnsi="Times New Roman"/>
          <w:sz w:val="24"/>
          <w:szCs w:val="24"/>
        </w:rPr>
        <w:t>1,759</w:t>
      </w:r>
      <w:r w:rsidR="00C84669">
        <w:rPr>
          <w:rFonts w:ascii="Times New Roman" w:hAnsi="Times New Roman"/>
          <w:sz w:val="24"/>
          <w:szCs w:val="24"/>
        </w:rPr>
        <w:t xml:space="preserve"> total fully investigated</w:t>
      </w:r>
      <w:r>
        <w:rPr>
          <w:rFonts w:ascii="Times New Roman" w:hAnsi="Times New Roman"/>
          <w:sz w:val="24"/>
          <w:szCs w:val="24"/>
        </w:rPr>
        <w:t>/3 years</w:t>
      </w:r>
      <w:r w:rsidRPr="00644586">
        <w:rPr>
          <w:rFonts w:ascii="Times New Roman" w:hAnsi="Times New Roman"/>
          <w:sz w:val="24"/>
          <w:szCs w:val="24"/>
        </w:rPr>
        <w:t>].</w:t>
      </w:r>
    </w:p>
    <w:p w:rsidR="00E9142F" w:rsidP="00E9142F" w14:paraId="19189D0B" w14:textId="77777777">
      <w:pPr>
        <w:ind w:left="360"/>
        <w:rPr>
          <w:rFonts w:ascii="Times New Roman" w:hAnsi="Times New Roman"/>
          <w:sz w:val="24"/>
          <w:szCs w:val="24"/>
        </w:rPr>
      </w:pPr>
    </w:p>
    <w:p w:rsidR="00E9142F" w:rsidP="00E9142F" w14:paraId="604D7DE5" w14:textId="07F1F534">
      <w:pPr>
        <w:ind w:left="360"/>
        <w:rPr>
          <w:rFonts w:ascii="Times New Roman" w:hAnsi="Times New Roman"/>
          <w:sz w:val="24"/>
          <w:szCs w:val="24"/>
        </w:rPr>
      </w:pPr>
      <w:r w:rsidRPr="00644586">
        <w:rPr>
          <w:rFonts w:ascii="Times New Roman" w:hAnsi="Times New Roman"/>
          <w:sz w:val="24"/>
          <w:szCs w:val="24"/>
        </w:rPr>
        <w:t xml:space="preserve">It is estimated that it takes a vetting agent approximately 8 hours to pre-screen one application. FMCSA has two vetting agents (one at the GS-9 level and one at the GS-11 level) that conduct pre-screening activities, and applications are split between these staff. Thus, it is estimated that it takes approximately 4 hours per person (on a team of two) to pre-screen a single application </w:t>
      </w:r>
      <w:r>
        <w:rPr>
          <w:rFonts w:ascii="Times New Roman" w:hAnsi="Times New Roman"/>
          <w:sz w:val="24"/>
          <w:szCs w:val="24"/>
        </w:rPr>
        <w:t>(4 hours x 2 people = 8 hours).</w:t>
      </w:r>
    </w:p>
    <w:p w:rsidR="00F42A94" w:rsidRPr="00644586" w:rsidP="00E9142F" w14:paraId="7D8AD95C" w14:textId="77777777">
      <w:pPr>
        <w:ind w:left="360"/>
        <w:rPr>
          <w:rFonts w:ascii="Times New Roman" w:hAnsi="Times New Roman"/>
          <w:sz w:val="24"/>
          <w:szCs w:val="24"/>
        </w:rPr>
      </w:pPr>
    </w:p>
    <w:p w:rsidR="00E9142F" w:rsidP="00E9142F" w14:paraId="123C96DD" w14:textId="1A9EB3BD">
      <w:pPr>
        <w:ind w:left="360"/>
        <w:rPr>
          <w:rFonts w:ascii="Times New Roman" w:hAnsi="Times New Roman"/>
          <w:sz w:val="24"/>
          <w:szCs w:val="24"/>
        </w:rPr>
      </w:pPr>
      <w:r w:rsidRPr="00644586">
        <w:rPr>
          <w:rFonts w:ascii="Times New Roman" w:hAnsi="Times New Roman"/>
          <w:sz w:val="24"/>
          <w:szCs w:val="24"/>
        </w:rPr>
        <w:t>Senior vetting agents typically conduct multiple investigations simultaneously, and like the pre-screening activities, the applications are split among senior vetting staff. FMCSA has six senior vetting agents that conduct full investigations of flagged applicants (three at the GS-12 level and three at the GS-13 level). At any given time, a senior vetting agent may be working on three to four cases (an average of 3.5 cases at a time). It takes approximately two weeks for a senior vetting agent to begin and finish 3.5 cases.</w:t>
      </w:r>
      <w:r>
        <w:rPr>
          <w:rFonts w:ascii="Times New Roman" w:hAnsi="Times New Roman"/>
          <w:sz w:val="24"/>
          <w:szCs w:val="24"/>
        </w:rPr>
        <w:t xml:space="preserve"> </w:t>
      </w:r>
      <w:r w:rsidRPr="00644586">
        <w:rPr>
          <w:rFonts w:ascii="Times New Roman" w:hAnsi="Times New Roman"/>
          <w:sz w:val="24"/>
          <w:szCs w:val="24"/>
        </w:rPr>
        <w:t>Based on these figures, FMCSA estimates that it takes approximately 22.86 hours for a senior vetting agent to conduct one complete investigation (80 hours/3.5 cases = 22.86 hours). It is thus estimated that it takes approximately 3.81 hours per person (on a team of six) to conduct a single investigation (3.81 h</w:t>
      </w:r>
      <w:r>
        <w:rPr>
          <w:rFonts w:ascii="Times New Roman" w:hAnsi="Times New Roman"/>
          <w:sz w:val="24"/>
          <w:szCs w:val="24"/>
        </w:rPr>
        <w:t>ours x 6 people = 22.86 hours).</w:t>
      </w:r>
    </w:p>
    <w:p w:rsidR="005A7B6A" w:rsidP="00E9142F" w14:paraId="31677DCE" w14:textId="77777777">
      <w:pPr>
        <w:ind w:left="360"/>
        <w:rPr>
          <w:rFonts w:ascii="Times New Roman" w:hAnsi="Times New Roman"/>
          <w:sz w:val="24"/>
          <w:szCs w:val="24"/>
        </w:rPr>
      </w:pPr>
    </w:p>
    <w:p w:rsidR="00E9142F" w:rsidRPr="00644586" w:rsidP="005A7B6A" w14:paraId="3FB44B89" w14:textId="77777777">
      <w:pPr>
        <w:keepNext/>
        <w:ind w:left="360"/>
        <w:rPr>
          <w:rFonts w:ascii="Times New Roman" w:hAnsi="Times New Roman"/>
          <w:sz w:val="24"/>
          <w:szCs w:val="24"/>
        </w:rPr>
      </w:pPr>
      <w:r w:rsidRPr="00644586">
        <w:rPr>
          <w:rFonts w:ascii="Times New Roman" w:hAnsi="Times New Roman"/>
          <w:sz w:val="24"/>
          <w:szCs w:val="24"/>
        </w:rPr>
        <w:t>Estimated loaded hourly wages fo</w:t>
      </w:r>
      <w:r>
        <w:rPr>
          <w:rFonts w:ascii="Times New Roman" w:hAnsi="Times New Roman"/>
          <w:sz w:val="24"/>
          <w:szCs w:val="24"/>
        </w:rPr>
        <w:t>r Federal staff are as follows:</w:t>
      </w:r>
    </w:p>
    <w:p w:rsidR="00E9142F" w:rsidRPr="00644586" w:rsidP="004D67B0" w14:paraId="02C2A2C9" w14:textId="27554ECD">
      <w:pPr>
        <w:pStyle w:val="ListParagraph"/>
        <w:numPr>
          <w:ilvl w:val="0"/>
          <w:numId w:val="38"/>
        </w:numPr>
        <w:tabs>
          <w:tab w:val="left" w:pos="-1440"/>
          <w:tab w:val="left" w:pos="-720"/>
        </w:tabs>
        <w:rPr>
          <w:rFonts w:ascii="Times New Roman" w:hAnsi="Times New Roman"/>
          <w:b/>
          <w:sz w:val="24"/>
          <w:szCs w:val="24"/>
        </w:rPr>
      </w:pPr>
      <w:r w:rsidRPr="00644586">
        <w:rPr>
          <w:rFonts w:ascii="Times New Roman" w:hAnsi="Times New Roman"/>
          <w:sz w:val="24"/>
          <w:szCs w:val="24"/>
        </w:rPr>
        <w:t>GS-9 Vetting Agent I: $</w:t>
      </w:r>
      <w:r w:rsidR="00BD5FFF">
        <w:rPr>
          <w:rFonts w:ascii="Times New Roman" w:hAnsi="Times New Roman"/>
          <w:sz w:val="24"/>
          <w:szCs w:val="24"/>
        </w:rPr>
        <w:t>49.32</w:t>
      </w:r>
      <w:r w:rsidRPr="00644586">
        <w:rPr>
          <w:rFonts w:ascii="Times New Roman" w:hAnsi="Times New Roman"/>
          <w:sz w:val="24"/>
          <w:szCs w:val="24"/>
        </w:rPr>
        <w:t>, comprising wages of $</w:t>
      </w:r>
      <w:r w:rsidR="00BD5FFF">
        <w:rPr>
          <w:rFonts w:ascii="Times New Roman" w:hAnsi="Times New Roman"/>
          <w:sz w:val="24"/>
          <w:szCs w:val="24"/>
        </w:rPr>
        <w:t>38.52</w:t>
      </w:r>
      <w:r w:rsidRPr="00644586">
        <w:rPr>
          <w:rFonts w:ascii="Times New Roman" w:hAnsi="Times New Roman"/>
          <w:sz w:val="24"/>
          <w:szCs w:val="24"/>
        </w:rPr>
        <w:t xml:space="preserve"> per hour (average of 20</w:t>
      </w:r>
      <w:r w:rsidR="000D76D5">
        <w:rPr>
          <w:rFonts w:ascii="Times New Roman" w:hAnsi="Times New Roman"/>
          <w:sz w:val="24"/>
          <w:szCs w:val="24"/>
        </w:rPr>
        <w:t>2</w:t>
      </w:r>
      <w:r w:rsidR="00BD5FFF">
        <w:rPr>
          <w:rFonts w:ascii="Times New Roman" w:hAnsi="Times New Roman"/>
          <w:sz w:val="24"/>
          <w:szCs w:val="24"/>
        </w:rPr>
        <w:t>5</w:t>
      </w:r>
      <w:r w:rsidRPr="00644586">
        <w:rPr>
          <w:rFonts w:ascii="Times New Roman" w:hAnsi="Times New Roman"/>
          <w:sz w:val="24"/>
          <w:szCs w:val="24"/>
        </w:rPr>
        <w:t xml:space="preserve"> Step 1-10 GS-9 DC hourly wage) and benefits equal to 28 percent of wages.</w:t>
      </w:r>
    </w:p>
    <w:p w:rsidR="00E9142F" w:rsidRPr="00644586" w:rsidP="004D67B0" w14:paraId="7FEBAE97" w14:textId="0EBCD535">
      <w:pPr>
        <w:pStyle w:val="ListParagraph"/>
        <w:numPr>
          <w:ilvl w:val="0"/>
          <w:numId w:val="38"/>
        </w:numPr>
        <w:tabs>
          <w:tab w:val="left" w:pos="-1440"/>
          <w:tab w:val="left" w:pos="-720"/>
        </w:tabs>
        <w:rPr>
          <w:rFonts w:ascii="Times New Roman" w:hAnsi="Times New Roman"/>
          <w:b/>
          <w:sz w:val="24"/>
          <w:szCs w:val="24"/>
        </w:rPr>
      </w:pPr>
      <w:r w:rsidRPr="00644586">
        <w:rPr>
          <w:rFonts w:ascii="Times New Roman" w:hAnsi="Times New Roman"/>
          <w:sz w:val="24"/>
          <w:szCs w:val="24"/>
        </w:rPr>
        <w:t>GS-11 Vetting Agent II: $</w:t>
      </w:r>
      <w:r w:rsidR="00BD5FFF">
        <w:rPr>
          <w:rFonts w:ascii="Times New Roman" w:hAnsi="Times New Roman"/>
          <w:sz w:val="24"/>
          <w:szCs w:val="24"/>
        </w:rPr>
        <w:t>59.67</w:t>
      </w:r>
      <w:r w:rsidRPr="00644586">
        <w:rPr>
          <w:rFonts w:ascii="Times New Roman" w:hAnsi="Times New Roman"/>
          <w:sz w:val="24"/>
          <w:szCs w:val="24"/>
        </w:rPr>
        <w:t>, comprising wages of $</w:t>
      </w:r>
      <w:r w:rsidR="00BD5FFF">
        <w:rPr>
          <w:rFonts w:ascii="Times New Roman" w:hAnsi="Times New Roman"/>
          <w:sz w:val="24"/>
          <w:szCs w:val="24"/>
        </w:rPr>
        <w:t>46.62</w:t>
      </w:r>
      <w:r w:rsidRPr="00644586">
        <w:rPr>
          <w:rFonts w:ascii="Times New Roman" w:hAnsi="Times New Roman"/>
          <w:sz w:val="24"/>
          <w:szCs w:val="24"/>
        </w:rPr>
        <w:t xml:space="preserve"> per hour (average of 20</w:t>
      </w:r>
      <w:r w:rsidR="007619F9">
        <w:rPr>
          <w:rFonts w:ascii="Times New Roman" w:hAnsi="Times New Roman"/>
          <w:sz w:val="24"/>
          <w:szCs w:val="24"/>
        </w:rPr>
        <w:t>2</w:t>
      </w:r>
      <w:r w:rsidR="00BD5FFF">
        <w:rPr>
          <w:rFonts w:ascii="Times New Roman" w:hAnsi="Times New Roman"/>
          <w:sz w:val="24"/>
          <w:szCs w:val="24"/>
        </w:rPr>
        <w:t>5</w:t>
      </w:r>
      <w:r w:rsidRPr="00644586">
        <w:rPr>
          <w:rFonts w:ascii="Times New Roman" w:hAnsi="Times New Roman"/>
          <w:sz w:val="24"/>
          <w:szCs w:val="24"/>
        </w:rPr>
        <w:t xml:space="preserve"> Step 1-10 GS-11 DC hourly wage) and benefits equal to 28 percent of wages.</w:t>
      </w:r>
    </w:p>
    <w:p w:rsidR="00E9142F" w:rsidRPr="0056376E" w:rsidP="004D67B0" w14:paraId="0F95D231" w14:textId="6FD89FE2">
      <w:pPr>
        <w:pStyle w:val="ListParagraph"/>
        <w:numPr>
          <w:ilvl w:val="0"/>
          <w:numId w:val="38"/>
        </w:numPr>
        <w:tabs>
          <w:tab w:val="left" w:pos="-1440"/>
          <w:tab w:val="left" w:pos="-720"/>
        </w:tabs>
        <w:rPr>
          <w:rFonts w:ascii="Times New Roman" w:hAnsi="Times New Roman"/>
          <w:b/>
          <w:sz w:val="24"/>
          <w:szCs w:val="24"/>
        </w:rPr>
      </w:pPr>
      <w:r w:rsidRPr="00644586">
        <w:rPr>
          <w:rFonts w:ascii="Times New Roman" w:hAnsi="Times New Roman"/>
          <w:sz w:val="24"/>
          <w:szCs w:val="24"/>
        </w:rPr>
        <w:t>GS-12 Senior Vetting Agent I: $</w:t>
      </w:r>
      <w:r w:rsidR="00BD5FFF">
        <w:rPr>
          <w:rFonts w:ascii="Times New Roman" w:hAnsi="Times New Roman"/>
          <w:sz w:val="24"/>
          <w:szCs w:val="24"/>
        </w:rPr>
        <w:t>71.53</w:t>
      </w:r>
      <w:r w:rsidRPr="00644586">
        <w:rPr>
          <w:rFonts w:ascii="Times New Roman" w:hAnsi="Times New Roman"/>
          <w:sz w:val="24"/>
          <w:szCs w:val="24"/>
        </w:rPr>
        <w:t>, comprising wages of $</w:t>
      </w:r>
      <w:r w:rsidR="00BD5FFF">
        <w:rPr>
          <w:rFonts w:ascii="Times New Roman" w:hAnsi="Times New Roman"/>
          <w:sz w:val="24"/>
          <w:szCs w:val="24"/>
        </w:rPr>
        <w:t>55.88</w:t>
      </w:r>
      <w:r w:rsidRPr="00644586">
        <w:rPr>
          <w:rFonts w:ascii="Times New Roman" w:hAnsi="Times New Roman"/>
          <w:sz w:val="24"/>
          <w:szCs w:val="24"/>
        </w:rPr>
        <w:t xml:space="preserve"> per hour (average of 20</w:t>
      </w:r>
      <w:r w:rsidR="00035EF2">
        <w:rPr>
          <w:rFonts w:ascii="Times New Roman" w:hAnsi="Times New Roman"/>
          <w:sz w:val="24"/>
          <w:szCs w:val="24"/>
        </w:rPr>
        <w:t>2</w:t>
      </w:r>
      <w:r w:rsidR="00BD5FFF">
        <w:rPr>
          <w:rFonts w:ascii="Times New Roman" w:hAnsi="Times New Roman"/>
          <w:sz w:val="24"/>
          <w:szCs w:val="24"/>
        </w:rPr>
        <w:t>5</w:t>
      </w:r>
      <w:r w:rsidRPr="00644586">
        <w:rPr>
          <w:rFonts w:ascii="Times New Roman" w:hAnsi="Times New Roman"/>
          <w:sz w:val="24"/>
          <w:szCs w:val="24"/>
        </w:rPr>
        <w:t xml:space="preserve"> Step 1-10 GS-12 DC hourly wage) and benefits equal to 28 percent of wages.</w:t>
      </w:r>
    </w:p>
    <w:p w:rsidR="00E9142F" w:rsidRPr="00644586" w:rsidP="004D67B0" w14:paraId="01AD6B9C" w14:textId="7DA1CA53">
      <w:pPr>
        <w:pStyle w:val="ListParagraph"/>
        <w:numPr>
          <w:ilvl w:val="0"/>
          <w:numId w:val="38"/>
        </w:numPr>
        <w:tabs>
          <w:tab w:val="left" w:pos="-1440"/>
          <w:tab w:val="left" w:pos="-720"/>
        </w:tabs>
        <w:rPr>
          <w:rFonts w:ascii="Times New Roman" w:hAnsi="Times New Roman"/>
          <w:b/>
          <w:sz w:val="24"/>
          <w:szCs w:val="24"/>
        </w:rPr>
      </w:pPr>
      <w:r w:rsidRPr="00644586">
        <w:rPr>
          <w:rFonts w:ascii="Times New Roman" w:hAnsi="Times New Roman"/>
          <w:sz w:val="24"/>
          <w:szCs w:val="24"/>
        </w:rPr>
        <w:t>GS-13 Senior Vetting Agent II: $</w:t>
      </w:r>
      <w:r w:rsidR="00BD5FFF">
        <w:rPr>
          <w:rFonts w:ascii="Times New Roman" w:hAnsi="Times New Roman"/>
          <w:sz w:val="24"/>
          <w:szCs w:val="24"/>
        </w:rPr>
        <w:t>85.05</w:t>
      </w:r>
      <w:r w:rsidRPr="00644586">
        <w:rPr>
          <w:rFonts w:ascii="Times New Roman" w:hAnsi="Times New Roman"/>
          <w:sz w:val="24"/>
          <w:szCs w:val="24"/>
        </w:rPr>
        <w:t>, comprising wages of $</w:t>
      </w:r>
      <w:r w:rsidR="00BD5FFF">
        <w:rPr>
          <w:rFonts w:ascii="Times New Roman" w:hAnsi="Times New Roman"/>
          <w:sz w:val="24"/>
          <w:szCs w:val="24"/>
        </w:rPr>
        <w:t>66.44</w:t>
      </w:r>
      <w:r w:rsidRPr="00644586">
        <w:rPr>
          <w:rFonts w:ascii="Times New Roman" w:hAnsi="Times New Roman"/>
          <w:sz w:val="24"/>
          <w:szCs w:val="24"/>
        </w:rPr>
        <w:t xml:space="preserve"> per hour (average of 20</w:t>
      </w:r>
      <w:r w:rsidR="00035EF2">
        <w:rPr>
          <w:rFonts w:ascii="Times New Roman" w:hAnsi="Times New Roman"/>
          <w:sz w:val="24"/>
          <w:szCs w:val="24"/>
        </w:rPr>
        <w:t>2</w:t>
      </w:r>
      <w:r w:rsidR="00BD5FFF">
        <w:rPr>
          <w:rFonts w:ascii="Times New Roman" w:hAnsi="Times New Roman"/>
          <w:sz w:val="24"/>
          <w:szCs w:val="24"/>
        </w:rPr>
        <w:t>5</w:t>
      </w:r>
      <w:r w:rsidRPr="00644586">
        <w:rPr>
          <w:rFonts w:ascii="Times New Roman" w:hAnsi="Times New Roman"/>
          <w:sz w:val="24"/>
          <w:szCs w:val="24"/>
        </w:rPr>
        <w:t xml:space="preserve"> Step 1-10 GS-13 DC hourly wage) and benefits equal to 28 percent of </w:t>
      </w:r>
      <w:r w:rsidRPr="00644586" w:rsidR="00F42A94">
        <w:rPr>
          <w:rFonts w:ascii="Times New Roman" w:hAnsi="Times New Roman"/>
          <w:sz w:val="24"/>
          <w:szCs w:val="24"/>
        </w:rPr>
        <w:t>wages.</w:t>
      </w:r>
      <w:r w:rsidRPr="00644586" w:rsidR="00F42A94">
        <w:rPr>
          <w:rFonts w:ascii="Times New Roman" w:hAnsi="Times New Roman"/>
          <w:sz w:val="24"/>
          <w:szCs w:val="24"/>
          <w:vertAlign w:val="superscript"/>
        </w:rPr>
        <w:t xml:space="preserve"> (</w:t>
      </w:r>
      <w:r>
        <w:rPr>
          <w:rStyle w:val="FootnoteReference"/>
          <w:rFonts w:ascii="Times New Roman" w:hAnsi="Times New Roman"/>
          <w:sz w:val="24"/>
          <w:szCs w:val="24"/>
        </w:rPr>
        <w:footnoteReference w:id="6"/>
      </w:r>
      <w:r w:rsidRPr="00644586">
        <w:rPr>
          <w:rFonts w:ascii="Times New Roman" w:hAnsi="Times New Roman"/>
          <w:sz w:val="24"/>
          <w:szCs w:val="24"/>
          <w:vertAlign w:val="superscript"/>
        </w:rPr>
        <w:t>,</w:t>
      </w:r>
      <w:r>
        <w:rPr>
          <w:rStyle w:val="FootnoteReference"/>
          <w:rFonts w:ascii="Times New Roman" w:hAnsi="Times New Roman"/>
          <w:sz w:val="24"/>
          <w:szCs w:val="24"/>
        </w:rPr>
        <w:footnoteReference w:id="7"/>
      </w:r>
      <w:r w:rsidRPr="00644586">
        <w:rPr>
          <w:rFonts w:ascii="Times New Roman" w:hAnsi="Times New Roman"/>
          <w:sz w:val="24"/>
          <w:szCs w:val="24"/>
          <w:vertAlign w:val="superscript"/>
        </w:rPr>
        <w:t>)</w:t>
      </w:r>
    </w:p>
    <w:p w:rsidR="00E9142F" w:rsidRPr="00644586" w:rsidP="004D67B0" w14:paraId="7505EFEC" w14:textId="77777777">
      <w:pPr>
        <w:ind w:left="720"/>
        <w:rPr>
          <w:rFonts w:ascii="Times New Roman" w:hAnsi="Times New Roman"/>
          <w:sz w:val="24"/>
          <w:szCs w:val="24"/>
        </w:rPr>
      </w:pPr>
    </w:p>
    <w:p w:rsidR="00E9142F" w:rsidP="00E9142F" w14:paraId="7FD23009" w14:textId="38D961D7">
      <w:pPr>
        <w:ind w:left="360"/>
        <w:rPr>
          <w:rFonts w:ascii="Times New Roman" w:hAnsi="Times New Roman"/>
          <w:sz w:val="24"/>
          <w:szCs w:val="24"/>
        </w:rPr>
      </w:pPr>
      <w:r w:rsidRPr="00644586">
        <w:rPr>
          <w:rFonts w:ascii="Times New Roman" w:hAnsi="Times New Roman"/>
          <w:sz w:val="24"/>
          <w:szCs w:val="24"/>
        </w:rPr>
        <w:fldChar w:fldCharType="begin"/>
      </w:r>
      <w:r w:rsidRPr="00644586">
        <w:rPr>
          <w:rFonts w:ascii="Times New Roman" w:hAnsi="Times New Roman"/>
          <w:sz w:val="24"/>
          <w:szCs w:val="24"/>
        </w:rPr>
        <w:instrText xml:space="preserve"> REF _Ref16237077 \h  \* MERGEFORMAT </w:instrText>
      </w:r>
      <w:r w:rsidRPr="00644586">
        <w:rPr>
          <w:rFonts w:ascii="Times New Roman" w:hAnsi="Times New Roman"/>
          <w:sz w:val="24"/>
          <w:szCs w:val="24"/>
        </w:rPr>
        <w:fldChar w:fldCharType="separate"/>
      </w:r>
      <w:r w:rsidRPr="00D9369E" w:rsidR="00D9369E">
        <w:rPr>
          <w:rFonts w:ascii="Times New Roman" w:hAnsi="Times New Roman"/>
          <w:sz w:val="24"/>
          <w:szCs w:val="24"/>
        </w:rPr>
        <w:t>Table 6</w:t>
      </w:r>
      <w:r w:rsidRPr="00644586">
        <w:rPr>
          <w:rFonts w:ascii="Times New Roman" w:hAnsi="Times New Roman"/>
          <w:sz w:val="24"/>
          <w:szCs w:val="24"/>
        </w:rPr>
        <w:fldChar w:fldCharType="end"/>
      </w:r>
      <w:r w:rsidRPr="00644586">
        <w:rPr>
          <w:rFonts w:ascii="Times New Roman" w:hAnsi="Times New Roman"/>
          <w:sz w:val="24"/>
          <w:szCs w:val="24"/>
        </w:rPr>
        <w:t>, which is based on the estimates above, presents the estimated labor hours and costs to the Federal Government associated with processing Form MCSA-1.</w:t>
      </w:r>
    </w:p>
    <w:p w:rsidR="00CC3E6E" w:rsidP="00E9142F" w14:paraId="068B498E" w14:textId="289174E6">
      <w:pPr>
        <w:ind w:left="360"/>
        <w:rPr>
          <w:rFonts w:ascii="Times New Roman" w:hAnsi="Times New Roman"/>
          <w:sz w:val="24"/>
          <w:szCs w:val="24"/>
        </w:rPr>
      </w:pPr>
    </w:p>
    <w:p w:rsidR="00E9142F" w:rsidP="005A7B6A" w14:paraId="6B33AAFE" w14:textId="7D4C17B6">
      <w:pPr>
        <w:keepNext/>
        <w:widowControl/>
        <w:jc w:val="center"/>
        <w:rPr>
          <w:rFonts w:ascii="Times New Roman" w:hAnsi="Times New Roman"/>
          <w:b/>
          <w:sz w:val="24"/>
          <w:szCs w:val="24"/>
        </w:rPr>
      </w:pPr>
      <w:bookmarkStart w:id="10" w:name="_Ref16237077"/>
      <w:r w:rsidRPr="00644586">
        <w:rPr>
          <w:rFonts w:ascii="Times New Roman" w:hAnsi="Times New Roman"/>
          <w:b/>
          <w:sz w:val="24"/>
          <w:szCs w:val="24"/>
        </w:rPr>
        <w:t xml:space="preserve">Table </w:t>
      </w:r>
      <w:r w:rsidRPr="00644586">
        <w:rPr>
          <w:rFonts w:ascii="Times New Roman" w:hAnsi="Times New Roman"/>
          <w:b/>
          <w:sz w:val="24"/>
          <w:szCs w:val="24"/>
        </w:rPr>
        <w:fldChar w:fldCharType="begin"/>
      </w:r>
      <w:r w:rsidRPr="00644586">
        <w:rPr>
          <w:rFonts w:ascii="Times New Roman" w:hAnsi="Times New Roman"/>
          <w:b/>
          <w:sz w:val="24"/>
          <w:szCs w:val="24"/>
        </w:rPr>
        <w:instrText xml:space="preserve"> SEQ Table \* ARABIC </w:instrText>
      </w:r>
      <w:r w:rsidRPr="00644586">
        <w:rPr>
          <w:rFonts w:ascii="Times New Roman" w:hAnsi="Times New Roman"/>
          <w:b/>
          <w:sz w:val="24"/>
          <w:szCs w:val="24"/>
        </w:rPr>
        <w:fldChar w:fldCharType="separate"/>
      </w:r>
      <w:r w:rsidR="00D9369E">
        <w:rPr>
          <w:rFonts w:ascii="Times New Roman" w:hAnsi="Times New Roman"/>
          <w:b/>
          <w:noProof/>
          <w:sz w:val="24"/>
          <w:szCs w:val="24"/>
        </w:rPr>
        <w:t>6</w:t>
      </w:r>
      <w:r w:rsidRPr="00644586">
        <w:rPr>
          <w:rFonts w:ascii="Times New Roman" w:hAnsi="Times New Roman"/>
          <w:b/>
          <w:sz w:val="24"/>
          <w:szCs w:val="24"/>
        </w:rPr>
        <w:fldChar w:fldCharType="end"/>
      </w:r>
      <w:bookmarkEnd w:id="10"/>
      <w:r w:rsidRPr="00644586">
        <w:rPr>
          <w:rFonts w:ascii="Times New Roman" w:hAnsi="Times New Roman"/>
          <w:b/>
          <w:sz w:val="24"/>
          <w:szCs w:val="24"/>
        </w:rPr>
        <w:t xml:space="preserve">. Estimated </w:t>
      </w:r>
      <w:r>
        <w:rPr>
          <w:rFonts w:ascii="Times New Roman" w:hAnsi="Times New Roman"/>
          <w:b/>
          <w:sz w:val="24"/>
          <w:szCs w:val="24"/>
        </w:rPr>
        <w:t xml:space="preserve">MCSA-1 </w:t>
      </w:r>
      <w:r w:rsidRPr="00644586">
        <w:rPr>
          <w:rFonts w:ascii="Times New Roman" w:hAnsi="Times New Roman"/>
          <w:b/>
          <w:sz w:val="24"/>
          <w:szCs w:val="24"/>
        </w:rPr>
        <w:t xml:space="preserve">labor hours and costs to the Federal Government </w:t>
      </w:r>
      <w:r>
        <w:rPr>
          <w:rFonts w:ascii="Times New Roman" w:hAnsi="Times New Roman"/>
          <w:b/>
          <w:sz w:val="24"/>
          <w:szCs w:val="24"/>
        </w:rPr>
        <w:t>by year, for calendar years 202</w:t>
      </w:r>
      <w:r w:rsidR="006C7831">
        <w:rPr>
          <w:rFonts w:ascii="Times New Roman" w:hAnsi="Times New Roman"/>
          <w:b/>
          <w:sz w:val="24"/>
          <w:szCs w:val="24"/>
        </w:rPr>
        <w:t>6</w:t>
      </w:r>
      <w:r w:rsidR="00B61019">
        <w:rPr>
          <w:rFonts w:ascii="Times New Roman" w:hAnsi="Times New Roman"/>
          <w:b/>
          <w:sz w:val="24"/>
          <w:szCs w:val="24"/>
        </w:rPr>
        <w:t>-</w:t>
      </w:r>
      <w:r w:rsidR="00B97DB8">
        <w:rPr>
          <w:rFonts w:ascii="Times New Roman" w:hAnsi="Times New Roman"/>
          <w:b/>
          <w:sz w:val="24"/>
          <w:szCs w:val="24"/>
        </w:rPr>
        <w:t>20</w:t>
      </w:r>
      <w:r w:rsidR="00B61019">
        <w:rPr>
          <w:rFonts w:ascii="Times New Roman" w:hAnsi="Times New Roman"/>
          <w:b/>
          <w:sz w:val="24"/>
          <w:szCs w:val="24"/>
        </w:rPr>
        <w:t>2</w:t>
      </w:r>
      <w:r w:rsidR="00C30916">
        <w:rPr>
          <w:rFonts w:ascii="Times New Roman" w:hAnsi="Times New Roman"/>
          <w:b/>
          <w:sz w:val="24"/>
          <w:szCs w:val="24"/>
        </w:rPr>
        <w:t>8</w:t>
      </w:r>
      <w:r w:rsidRPr="00644586">
        <w:rPr>
          <w:rFonts w:ascii="Times New Roman" w:hAnsi="Times New Roman"/>
          <w:b/>
          <w:sz w:val="24"/>
          <w:szCs w:val="24"/>
        </w:rPr>
        <w:t>.</w:t>
      </w:r>
    </w:p>
    <w:p w:rsidR="005A7B6A" w:rsidP="005A7B6A" w14:paraId="74D47702" w14:textId="77777777">
      <w:pPr>
        <w:keepNext/>
        <w:widowControl/>
        <w:jc w:val="center"/>
        <w:rPr>
          <w:rFonts w:ascii="Times New Roman" w:hAnsi="Times New Roman"/>
          <w:b/>
          <w:sz w:val="24"/>
          <w:szCs w:val="24"/>
        </w:rPr>
      </w:pPr>
    </w:p>
    <w:tbl>
      <w:tblPr>
        <w:tblW w:w="9710" w:type="dxa"/>
        <w:jc w:val="center"/>
        <w:tblLayout w:type="fixed"/>
        <w:tblLook w:val="04A0"/>
      </w:tblPr>
      <w:tblGrid>
        <w:gridCol w:w="800"/>
        <w:gridCol w:w="1440"/>
        <w:gridCol w:w="990"/>
        <w:gridCol w:w="720"/>
        <w:gridCol w:w="1170"/>
        <w:gridCol w:w="1440"/>
        <w:gridCol w:w="900"/>
        <w:gridCol w:w="990"/>
        <w:gridCol w:w="1260"/>
      </w:tblGrid>
      <w:tr w14:paraId="776779DF" w14:textId="77777777" w:rsidTr="3E2FF4CE">
        <w:tblPrEx>
          <w:tblW w:w="9710" w:type="dxa"/>
          <w:jc w:val="center"/>
          <w:tblLayout w:type="fixed"/>
          <w:tblLook w:val="04A0"/>
        </w:tblPrEx>
        <w:trPr>
          <w:trHeight w:val="910"/>
          <w:tblHeader/>
          <w:jc w:val="center"/>
        </w:trPr>
        <w:tc>
          <w:tcPr>
            <w:tcW w:w="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B61019" w:rsidRPr="005C2DFF" w:rsidP="00B61019" w14:paraId="6B0973B0"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Year</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64A81993"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Federal Vetting Process</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1FEA194F"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Federal Vetting Position</w:t>
            </w:r>
          </w:p>
        </w:tc>
        <w:tc>
          <w:tcPr>
            <w:tcW w:w="72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72D9BDAB"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 of Staff</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264E3E63"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Hours per Response</w:t>
            </w:r>
          </w:p>
        </w:tc>
        <w:tc>
          <w:tcPr>
            <w:tcW w:w="144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22BC19C8"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 xml:space="preserve">Number of Applications Processed </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2535E1E1"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Total Labor Hours</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1F272E83"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Loaded Hourly Wage</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B61019" w:rsidRPr="005C2DFF" w:rsidP="00B61019" w14:paraId="3D300CCA"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Total Annual Cost</w:t>
            </w:r>
          </w:p>
        </w:tc>
      </w:tr>
      <w:tr w14:paraId="3747AE1B" w14:textId="77777777" w:rsidTr="00DD3872">
        <w:tblPrEx>
          <w:tblW w:w="9710" w:type="dxa"/>
          <w:jc w:val="center"/>
          <w:tblLayout w:type="fixed"/>
          <w:tblLook w:val="04A0"/>
        </w:tblPrEx>
        <w:trPr>
          <w:trHeight w:val="320"/>
          <w:jc w:val="center"/>
        </w:trPr>
        <w:tc>
          <w:tcPr>
            <w:tcW w:w="8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B61019" w14:paraId="57BB4DB5" w14:textId="1A93D8A1">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202</w:t>
            </w:r>
            <w:r w:rsidRPr="005C2DFF" w:rsidR="00510CF4">
              <w:rPr>
                <w:rFonts w:ascii="Times New Roman" w:hAnsi="Times New Roman"/>
                <w:b/>
                <w:bCs/>
                <w:color w:val="000000"/>
                <w:sz w:val="22"/>
                <w:szCs w:val="22"/>
              </w:rPr>
              <w:t>6</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B61019" w14:paraId="47A0EF98"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color w:val="000000"/>
                <w:sz w:val="22"/>
                <w:szCs w:val="22"/>
              </w:rPr>
              <w:t>Pre-screen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7F2E3A" w14:paraId="04148811"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GS-9</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22B4B298"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09343076"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3233DE08" w14:textId="4574558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0AD9B778" w14:textId="04798C12">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5D6032E9" w14:textId="664BF356">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$49.32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4E8DF6F3" w14:textId="4136561F">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$361,506</w:t>
            </w:r>
          </w:p>
        </w:tc>
      </w:tr>
      <w:tr w14:paraId="04352709"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53EF15E1"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16272AF0"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7F2E3A" w14:paraId="77A6F6A0"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GS-11</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5B50563A"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3408E3E2"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541B35C2" w14:textId="24BF499A">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32EA3975" w14:textId="285F9CF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5EAAF925" w14:textId="7064F6D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$59.67</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6024F0C2" w14:textId="0BB0C2AA">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$437,395</w:t>
            </w:r>
          </w:p>
        </w:tc>
      </w:tr>
      <w:tr w14:paraId="23B45A4F"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tcBorders>
            <w:vAlign w:val="center"/>
            <w:hideMark/>
          </w:tcPr>
          <w:p w:rsidR="00B61019" w:rsidRPr="005C2DFF" w:rsidP="00B61019" w14:paraId="06272E9C" w14:textId="77777777">
            <w:pPr>
              <w:widowControl/>
              <w:autoSpaceDE/>
              <w:autoSpaceDN/>
              <w:adjustRightInd/>
              <w:rPr>
                <w:rFonts w:ascii="Times New Roman" w:hAnsi="Times New Roman"/>
                <w:b/>
                <w:bCs/>
                <w:color w:val="000000"/>
                <w:sz w:val="22"/>
                <w:szCs w:val="22"/>
              </w:rPr>
            </w:pP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B61019" w14:paraId="2833BBD7"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color w:val="000000"/>
                <w:sz w:val="22"/>
                <w:szCs w:val="22"/>
              </w:rPr>
              <w:t>Full Investigation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7F2E3A" w14:paraId="63B9DE2D"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GS-12</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6C8D5197"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0480079E"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3EB0F252" w14:textId="36C0A0C3">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254CF6ED" w14:textId="7A8CFC42">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14A9B259" w14:textId="6688B21A">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$71.53</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61019" w:rsidRPr="005C2DFF" w:rsidP="005C2DFF" w14:paraId="4D2BC86A" w14:textId="7EEDF1C8">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$239,719</w:t>
            </w:r>
          </w:p>
        </w:tc>
      </w:tr>
      <w:tr w14:paraId="6F438690"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58F94D55"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6F189E67"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7F2E3A" w14:paraId="1E81BE2C"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GS-13</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72694F0F"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4D0AF1AD"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37E6642C" w14:textId="670DA3DD">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1C9DBC29" w14:textId="6B257D68">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6A483201" w14:textId="0C18B9AA">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$85.05</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61019" w:rsidRPr="005C2DFF" w:rsidP="005C2DFF" w14:paraId="6EB34AA5" w14:textId="732D0BB6">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$285,033</w:t>
            </w:r>
          </w:p>
        </w:tc>
      </w:tr>
      <w:tr w14:paraId="47F8CBC9"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0C8E2E70" w14:textId="77777777">
            <w:pPr>
              <w:widowControl/>
              <w:autoSpaceDE/>
              <w:autoSpaceDN/>
              <w:adjustRightInd/>
              <w:rPr>
                <w:rFonts w:ascii="Times New Roman" w:hAnsi="Times New Roman"/>
                <w:b/>
                <w:bCs/>
                <w:color w:val="000000"/>
                <w:sz w:val="22"/>
                <w:szCs w:val="22"/>
              </w:rPr>
            </w:pPr>
          </w:p>
        </w:tc>
        <w:tc>
          <w:tcPr>
            <w:tcW w:w="24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4598365C" w14:textId="190CBF0E">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202</w:t>
            </w:r>
            <w:r w:rsidRPr="005C2DFF" w:rsidR="001C1B8D">
              <w:rPr>
                <w:rFonts w:ascii="Times New Roman" w:hAnsi="Times New Roman"/>
                <w:b/>
                <w:bCs/>
                <w:i/>
                <w:iCs/>
                <w:sz w:val="22"/>
                <w:szCs w:val="22"/>
              </w:rPr>
              <w:t>6</w:t>
            </w:r>
            <w:r w:rsidRPr="005C2DFF">
              <w:rPr>
                <w:rFonts w:ascii="Times New Roman" w:hAnsi="Times New Roman"/>
                <w:b/>
                <w:bCs/>
                <w:i/>
                <w:iCs/>
                <w:sz w:val="22"/>
                <w:szCs w:val="22"/>
              </w:rPr>
              <w:t xml:space="preserve"> Total</w:t>
            </w:r>
          </w:p>
        </w:tc>
        <w:tc>
          <w:tcPr>
            <w:tcW w:w="7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7B6A3FAF"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8</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361A1BBA" w14:textId="77777777">
            <w:pPr>
              <w:widowControl/>
              <w:autoSpaceDE/>
              <w:autoSpaceDN/>
              <w:adjustRightInd/>
              <w:rPr>
                <w:rFonts w:ascii="Times New Roman" w:hAnsi="Times New Roman"/>
                <w:i/>
                <w:iCs/>
                <w:color w:val="000000"/>
                <w:sz w:val="22"/>
                <w:szCs w:val="22"/>
              </w:rPr>
            </w:pPr>
            <w:r w:rsidRPr="005C2DFF">
              <w:rPr>
                <w:rFonts w:ascii="Times New Roman" w:hAnsi="Times New Roman"/>
                <w:i/>
                <w:i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22A691DA" w14:textId="4F5257C6">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4,252</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6B362585" w14:textId="2590FA96">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21,364</w:t>
            </w:r>
          </w:p>
        </w:tc>
        <w:tc>
          <w:tcPr>
            <w:tcW w:w="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74A4A8B"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81A6747" w14:textId="31B3428C">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$1,323,653</w:t>
            </w:r>
          </w:p>
        </w:tc>
      </w:tr>
      <w:tr w14:paraId="1B9B3FF2" w14:textId="77777777" w:rsidTr="00DD3872">
        <w:tblPrEx>
          <w:tblW w:w="9710" w:type="dxa"/>
          <w:jc w:val="center"/>
          <w:tblLayout w:type="fixed"/>
          <w:tblLook w:val="04A0"/>
        </w:tblPrEx>
        <w:trPr>
          <w:trHeight w:val="320"/>
          <w:jc w:val="center"/>
        </w:trPr>
        <w:tc>
          <w:tcPr>
            <w:tcW w:w="8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2EAEB251" w14:textId="65715220">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202</w:t>
            </w:r>
            <w:r w:rsidRPr="005C2DFF" w:rsidR="00510CF4">
              <w:rPr>
                <w:rFonts w:ascii="Times New Roman" w:hAnsi="Times New Roman"/>
                <w:b/>
                <w:bCs/>
                <w:color w:val="000000"/>
                <w:sz w:val="22"/>
                <w:szCs w:val="22"/>
              </w:rPr>
              <w:t>7</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7EFB8E29"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color w:val="000000"/>
                <w:sz w:val="22"/>
                <w:szCs w:val="22"/>
              </w:rPr>
              <w:t>Pre-screen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7F2E3A" w14:paraId="1389B8B4"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GS-9</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257F83F8"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27F68BE0"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3860CE7E" w14:textId="25CBCA49">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4DE8180" w14:textId="2C14784C">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171B0184" w14:textId="638AE1CF">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$49.32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0215DBBB" w14:textId="2E6D9E42">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7F2E3A">
              <w:rPr>
                <w:rFonts w:ascii="Times New Roman" w:hAnsi="Times New Roman"/>
                <w:color w:val="000000"/>
                <w:sz w:val="22"/>
                <w:szCs w:val="22"/>
              </w:rPr>
              <w:t>361,506</w:t>
            </w:r>
            <w:r w:rsidRPr="005C2DFF">
              <w:rPr>
                <w:rFonts w:ascii="Times New Roman" w:hAnsi="Times New Roman"/>
                <w:color w:val="000000"/>
                <w:sz w:val="22"/>
                <w:szCs w:val="22"/>
              </w:rPr>
              <w:t xml:space="preserve"> </w:t>
            </w:r>
          </w:p>
        </w:tc>
      </w:tr>
      <w:tr w14:paraId="68B1C6EC"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2DF0E46F"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0D7845AD"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7F2E3A" w14:paraId="5A15BF09"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GS-11</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0F4E9729"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509C008"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7218DF53" w14:textId="67921255">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3F3C6CFC" w14:textId="4B215CB3">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0C2DE6E0" w14:textId="30A8EEA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$59.67</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7FEE55B" w14:textId="445A0AD0">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7A763A">
              <w:rPr>
                <w:rFonts w:ascii="Times New Roman" w:hAnsi="Times New Roman"/>
                <w:color w:val="000000"/>
                <w:sz w:val="22"/>
                <w:szCs w:val="22"/>
              </w:rPr>
              <w:t>437,395</w:t>
            </w:r>
          </w:p>
        </w:tc>
      </w:tr>
      <w:tr w14:paraId="21B2C3E1"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tcBorders>
            <w:vAlign w:val="center"/>
            <w:hideMark/>
          </w:tcPr>
          <w:p w:rsidR="00A86DF5" w:rsidRPr="005C2DFF" w:rsidP="00A86DF5" w14:paraId="07293709" w14:textId="77777777">
            <w:pPr>
              <w:widowControl/>
              <w:autoSpaceDE/>
              <w:autoSpaceDN/>
              <w:adjustRightInd/>
              <w:rPr>
                <w:rFonts w:ascii="Times New Roman" w:hAnsi="Times New Roman"/>
                <w:b/>
                <w:bCs/>
                <w:color w:val="000000"/>
                <w:sz w:val="22"/>
                <w:szCs w:val="22"/>
              </w:rPr>
            </w:pP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53310BF1"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color w:val="000000"/>
                <w:sz w:val="22"/>
                <w:szCs w:val="22"/>
              </w:rPr>
              <w:t>Full Investigation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7F2E3A" w14:paraId="1BA3F4D2"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GS-12</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BF3CEB6"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534E25AF"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808974B" w14:textId="0A42EB4E">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CA10796" w14:textId="4C147115">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8AD02B2" w14:textId="6F4ACB26">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$71.53</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304D5496" w14:textId="1E18D7C9">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D5588A">
              <w:rPr>
                <w:rFonts w:ascii="Times New Roman" w:hAnsi="Times New Roman"/>
                <w:color w:val="000000"/>
                <w:sz w:val="22"/>
                <w:szCs w:val="22"/>
              </w:rPr>
              <w:t>239</w:t>
            </w:r>
            <w:r w:rsidRPr="005C2DFF" w:rsidR="00B97DB8">
              <w:rPr>
                <w:rFonts w:ascii="Times New Roman" w:hAnsi="Times New Roman"/>
                <w:color w:val="000000"/>
                <w:sz w:val="22"/>
                <w:szCs w:val="22"/>
              </w:rPr>
              <w:t>,719</w:t>
            </w:r>
            <w:r w:rsidRPr="005C2DFF">
              <w:rPr>
                <w:rFonts w:ascii="Times New Roman" w:hAnsi="Times New Roman"/>
                <w:color w:val="000000"/>
                <w:sz w:val="22"/>
                <w:szCs w:val="22"/>
              </w:rPr>
              <w:t xml:space="preserve"> </w:t>
            </w:r>
          </w:p>
        </w:tc>
      </w:tr>
      <w:tr w14:paraId="6AD94FD5"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621149DB"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4C4B3C76"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7F2E3A" w14:paraId="7D5B55E7"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GS-13</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33FB735C"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0854E63"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251D0E1F" w14:textId="6977E26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66B39327" w14:textId="2C8DE521">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12211B7C" w14:textId="69FE0514">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$85.05</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1B280F22" w14:textId="30243194">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B97DB8">
              <w:rPr>
                <w:rFonts w:ascii="Times New Roman" w:hAnsi="Times New Roman"/>
                <w:color w:val="000000"/>
                <w:sz w:val="22"/>
                <w:szCs w:val="22"/>
              </w:rPr>
              <w:t>285,033</w:t>
            </w:r>
            <w:r w:rsidRPr="005C2DFF">
              <w:rPr>
                <w:rFonts w:ascii="Times New Roman" w:hAnsi="Times New Roman"/>
                <w:color w:val="000000"/>
                <w:sz w:val="22"/>
                <w:szCs w:val="22"/>
              </w:rPr>
              <w:t xml:space="preserve"> </w:t>
            </w:r>
          </w:p>
        </w:tc>
      </w:tr>
      <w:tr w14:paraId="7491DF08"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2DD89F55" w14:textId="77777777">
            <w:pPr>
              <w:widowControl/>
              <w:autoSpaceDE/>
              <w:autoSpaceDN/>
              <w:adjustRightInd/>
              <w:rPr>
                <w:rFonts w:ascii="Times New Roman" w:hAnsi="Times New Roman"/>
                <w:b/>
                <w:bCs/>
                <w:color w:val="000000"/>
                <w:sz w:val="22"/>
                <w:szCs w:val="22"/>
              </w:rPr>
            </w:pPr>
          </w:p>
        </w:tc>
        <w:tc>
          <w:tcPr>
            <w:tcW w:w="24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6A654A95" w14:textId="77C0698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202</w:t>
            </w:r>
            <w:r w:rsidRPr="005C2DFF" w:rsidR="006510B0">
              <w:rPr>
                <w:rFonts w:ascii="Times New Roman" w:hAnsi="Times New Roman"/>
                <w:b/>
                <w:bCs/>
                <w:i/>
                <w:iCs/>
                <w:sz w:val="22"/>
                <w:szCs w:val="22"/>
              </w:rPr>
              <w:t>7</w:t>
            </w:r>
            <w:r w:rsidRPr="005C2DFF">
              <w:rPr>
                <w:rFonts w:ascii="Times New Roman" w:hAnsi="Times New Roman"/>
                <w:b/>
                <w:bCs/>
                <w:i/>
                <w:iCs/>
                <w:sz w:val="22"/>
                <w:szCs w:val="22"/>
              </w:rPr>
              <w:t xml:space="preserve"> Total</w:t>
            </w:r>
          </w:p>
        </w:tc>
        <w:tc>
          <w:tcPr>
            <w:tcW w:w="7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4AEB13A4"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8</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375D486E" w14:textId="77777777">
            <w:pPr>
              <w:widowControl/>
              <w:autoSpaceDE/>
              <w:autoSpaceDN/>
              <w:adjustRightInd/>
              <w:rPr>
                <w:rFonts w:ascii="Times New Roman" w:hAnsi="Times New Roman"/>
                <w:i/>
                <w:iCs/>
                <w:color w:val="000000"/>
                <w:sz w:val="22"/>
                <w:szCs w:val="22"/>
              </w:rPr>
            </w:pPr>
            <w:r w:rsidRPr="005C2DFF">
              <w:rPr>
                <w:rFonts w:ascii="Times New Roman" w:hAnsi="Times New Roman"/>
                <w:i/>
                <w:i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0B0733D" w14:textId="34EE8AC3">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4,252</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5C41A561" w14:textId="03B9A8C4">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21,</w:t>
            </w:r>
            <w:r w:rsidRPr="005C2DFF" w:rsidR="00BE550D">
              <w:rPr>
                <w:rFonts w:ascii="Times New Roman" w:hAnsi="Times New Roman"/>
                <w:b/>
                <w:bCs/>
                <w:i/>
                <w:iCs/>
                <w:sz w:val="22"/>
                <w:szCs w:val="22"/>
              </w:rPr>
              <w:t>36</w:t>
            </w:r>
            <w:r w:rsidRPr="005C2DFF">
              <w:rPr>
                <w:rFonts w:ascii="Times New Roman" w:hAnsi="Times New Roman"/>
                <w:b/>
                <w:bCs/>
                <w:i/>
                <w:iCs/>
                <w:sz w:val="22"/>
                <w:szCs w:val="22"/>
              </w:rPr>
              <w:t>4</w:t>
            </w:r>
          </w:p>
        </w:tc>
        <w:tc>
          <w:tcPr>
            <w:tcW w:w="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5D72593F"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06D6AC05" w14:textId="617AAE7D">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$1,</w:t>
            </w:r>
            <w:r w:rsidRPr="005C2DFF" w:rsidR="00B97DB8">
              <w:rPr>
                <w:rFonts w:ascii="Times New Roman" w:hAnsi="Times New Roman"/>
                <w:b/>
                <w:bCs/>
                <w:i/>
                <w:iCs/>
                <w:sz w:val="22"/>
                <w:szCs w:val="22"/>
              </w:rPr>
              <w:t>323,653</w:t>
            </w:r>
            <w:r w:rsidRPr="005C2DFF">
              <w:rPr>
                <w:rFonts w:ascii="Times New Roman" w:hAnsi="Times New Roman"/>
                <w:b/>
                <w:bCs/>
                <w:i/>
                <w:iCs/>
                <w:sz w:val="22"/>
                <w:szCs w:val="22"/>
              </w:rPr>
              <w:t xml:space="preserve"> </w:t>
            </w:r>
          </w:p>
        </w:tc>
      </w:tr>
      <w:tr w14:paraId="42011537" w14:textId="77777777" w:rsidTr="00DD3872">
        <w:tblPrEx>
          <w:tblW w:w="9710" w:type="dxa"/>
          <w:jc w:val="center"/>
          <w:tblLayout w:type="fixed"/>
          <w:tblLook w:val="04A0"/>
        </w:tblPrEx>
        <w:trPr>
          <w:trHeight w:val="320"/>
          <w:jc w:val="center"/>
        </w:trPr>
        <w:tc>
          <w:tcPr>
            <w:tcW w:w="8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1B261DFC" w14:textId="7B20302B">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202</w:t>
            </w:r>
            <w:r w:rsidRPr="005C2DFF" w:rsidR="00510CF4">
              <w:rPr>
                <w:rFonts w:ascii="Times New Roman" w:hAnsi="Times New Roman"/>
                <w:b/>
                <w:bCs/>
                <w:color w:val="000000"/>
                <w:sz w:val="22"/>
                <w:szCs w:val="22"/>
              </w:rPr>
              <w:t>8</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20590B90"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Pre-screen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7F2E3A" w14:paraId="131D63F0"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GS-9</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698FB2BF"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8C92AF1"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68814C6B" w14:textId="5C191FF1">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35DA227" w14:textId="7B3707B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A22809D" w14:textId="0DBB1851">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$49.32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18AD0E0F" w14:textId="6D21797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B97DB8">
              <w:rPr>
                <w:rFonts w:ascii="Times New Roman" w:hAnsi="Times New Roman"/>
                <w:color w:val="000000"/>
                <w:sz w:val="22"/>
                <w:szCs w:val="22"/>
              </w:rPr>
              <w:t>361,506</w:t>
            </w:r>
            <w:r w:rsidRPr="005C2DFF">
              <w:rPr>
                <w:rFonts w:ascii="Times New Roman" w:hAnsi="Times New Roman"/>
                <w:color w:val="000000"/>
                <w:sz w:val="22"/>
                <w:szCs w:val="22"/>
              </w:rPr>
              <w:t xml:space="preserve"> </w:t>
            </w:r>
          </w:p>
        </w:tc>
      </w:tr>
      <w:tr w14:paraId="4C679ECA"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3E97A88F"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5B2A5E06"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7F2E3A" w14:paraId="0365F17D"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GS-11</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78EDEBB3"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A782112"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4</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4D9990DF" w14:textId="383E4A43">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1,833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175792FB" w14:textId="48B3B971">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7,330</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15AE641A" w14:textId="31DDFA5F">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$59.67</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E4306C5" w14:textId="2BDACB94">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B97DB8">
              <w:rPr>
                <w:rFonts w:ascii="Times New Roman" w:hAnsi="Times New Roman"/>
                <w:color w:val="000000"/>
                <w:sz w:val="22"/>
                <w:szCs w:val="22"/>
              </w:rPr>
              <w:t>437,395</w:t>
            </w:r>
          </w:p>
        </w:tc>
      </w:tr>
      <w:tr w14:paraId="52A18BCA"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tcBorders>
            <w:vAlign w:val="center"/>
            <w:hideMark/>
          </w:tcPr>
          <w:p w:rsidR="00A86DF5" w:rsidRPr="005C2DFF" w:rsidP="00A86DF5" w14:paraId="3E438273" w14:textId="77777777">
            <w:pPr>
              <w:widowControl/>
              <w:autoSpaceDE/>
              <w:autoSpaceDN/>
              <w:adjustRightInd/>
              <w:rPr>
                <w:rFonts w:ascii="Times New Roman" w:hAnsi="Times New Roman"/>
                <w:b/>
                <w:bCs/>
                <w:color w:val="000000"/>
                <w:sz w:val="22"/>
                <w:szCs w:val="22"/>
              </w:rPr>
            </w:pP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A86DF5" w14:paraId="3EF0522A"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color w:val="000000"/>
                <w:sz w:val="22"/>
                <w:szCs w:val="22"/>
              </w:rPr>
              <w:t>Full Investigation</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7F2E3A" w14:paraId="248CEDAD"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GS-12</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D86C636"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66EE094"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26AA7B3D" w14:textId="03C0C808">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75469518" w14:textId="15C6978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2FD2B3EE" w14:textId="7EAFC77E">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$71.53</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A86DF5" w:rsidRPr="005C2DFF" w:rsidP="005C2DFF" w14:paraId="414D6ED4" w14:textId="3885287B">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B97DB8">
              <w:rPr>
                <w:rFonts w:ascii="Times New Roman" w:hAnsi="Times New Roman"/>
                <w:color w:val="000000"/>
                <w:sz w:val="22"/>
                <w:szCs w:val="22"/>
              </w:rPr>
              <w:t>239,719</w:t>
            </w:r>
            <w:r w:rsidRPr="005C2DFF">
              <w:rPr>
                <w:rFonts w:ascii="Times New Roman" w:hAnsi="Times New Roman"/>
                <w:color w:val="000000"/>
                <w:sz w:val="22"/>
                <w:szCs w:val="22"/>
              </w:rPr>
              <w:t xml:space="preserve"> </w:t>
            </w:r>
          </w:p>
        </w:tc>
      </w:tr>
      <w:tr w14:paraId="08F827FF"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1A7C96E2" w14:textId="77777777">
            <w:pPr>
              <w:widowControl/>
              <w:autoSpaceDE/>
              <w:autoSpaceDN/>
              <w:adjustRightInd/>
              <w:rPr>
                <w:rFonts w:ascii="Times New Roman" w:hAnsi="Times New Roman"/>
                <w:b/>
                <w:bCs/>
                <w:color w:val="000000"/>
                <w:sz w:val="22"/>
                <w:szCs w:val="22"/>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A86DF5" w:rsidRPr="005C2DFF" w:rsidP="00A86DF5" w14:paraId="38B50F0E" w14:textId="77777777">
            <w:pPr>
              <w:widowControl/>
              <w:autoSpaceDE/>
              <w:autoSpaceDN/>
              <w:adjustRightInd/>
              <w:rPr>
                <w:rFonts w:ascii="Times New Roman" w:hAnsi="Times New Roman"/>
                <w:b/>
                <w:bCs/>
                <w:color w:val="000000"/>
                <w:sz w:val="22"/>
                <w:szCs w:val="22"/>
              </w:rPr>
            </w:pP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7F2E3A" w14:paraId="150F5358"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GS-13</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07FD26D9"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15C7F813" w14:textId="77777777">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3.81</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3384AEF2" w14:textId="676ECC53">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293</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04383CAE" w14:textId="20A17D99">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3,351</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7C7C8C9D" w14:textId="6E5C0A35">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$85.05</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6DF5" w:rsidRPr="005C2DFF" w:rsidP="005C2DFF" w14:paraId="512B6616" w14:textId="5C0072DC">
            <w:pPr>
              <w:widowControl/>
              <w:autoSpaceDE/>
              <w:autoSpaceDN/>
              <w:adjustRightInd/>
              <w:rPr>
                <w:rFonts w:ascii="Times New Roman" w:hAnsi="Times New Roman"/>
                <w:color w:val="000000"/>
                <w:sz w:val="22"/>
                <w:szCs w:val="22"/>
              </w:rPr>
            </w:pPr>
            <w:r w:rsidRPr="005C2DFF">
              <w:rPr>
                <w:rFonts w:ascii="Times New Roman" w:hAnsi="Times New Roman"/>
                <w:color w:val="000000"/>
                <w:sz w:val="22"/>
                <w:szCs w:val="22"/>
              </w:rPr>
              <w:t>$</w:t>
            </w:r>
            <w:r w:rsidRPr="005C2DFF" w:rsidR="00B97DB8">
              <w:rPr>
                <w:rFonts w:ascii="Times New Roman" w:hAnsi="Times New Roman"/>
                <w:color w:val="000000"/>
                <w:sz w:val="22"/>
                <w:szCs w:val="22"/>
              </w:rPr>
              <w:t>285,033</w:t>
            </w:r>
          </w:p>
        </w:tc>
      </w:tr>
      <w:tr w14:paraId="5354E890"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B61019" w:rsidRPr="005C2DFF" w:rsidP="00B61019" w14:paraId="3323187C" w14:textId="77777777">
            <w:pPr>
              <w:widowControl/>
              <w:autoSpaceDE/>
              <w:autoSpaceDN/>
              <w:adjustRightInd/>
              <w:rPr>
                <w:rFonts w:ascii="Times New Roman" w:hAnsi="Times New Roman"/>
                <w:b/>
                <w:bCs/>
                <w:color w:val="000000"/>
                <w:sz w:val="22"/>
                <w:szCs w:val="22"/>
              </w:rPr>
            </w:pPr>
          </w:p>
        </w:tc>
        <w:tc>
          <w:tcPr>
            <w:tcW w:w="243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646F2563" w14:textId="1843596F">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202</w:t>
            </w:r>
            <w:r w:rsidRPr="005C2DFF" w:rsidR="006510B0">
              <w:rPr>
                <w:rFonts w:ascii="Times New Roman" w:hAnsi="Times New Roman"/>
                <w:b/>
                <w:bCs/>
                <w:i/>
                <w:iCs/>
                <w:sz w:val="22"/>
                <w:szCs w:val="22"/>
              </w:rPr>
              <w:t>8</w:t>
            </w:r>
            <w:r w:rsidRPr="005C2DFF">
              <w:rPr>
                <w:rFonts w:ascii="Times New Roman" w:hAnsi="Times New Roman"/>
                <w:b/>
                <w:bCs/>
                <w:i/>
                <w:iCs/>
                <w:sz w:val="22"/>
                <w:szCs w:val="22"/>
              </w:rPr>
              <w:t xml:space="preserve"> Total</w:t>
            </w:r>
          </w:p>
        </w:tc>
        <w:tc>
          <w:tcPr>
            <w:tcW w:w="7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6FA26BA"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8</w:t>
            </w:r>
          </w:p>
        </w:tc>
        <w:tc>
          <w:tcPr>
            <w:tcW w:w="117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5AC664B" w14:textId="77777777">
            <w:pPr>
              <w:widowControl/>
              <w:autoSpaceDE/>
              <w:autoSpaceDN/>
              <w:adjustRightInd/>
              <w:rPr>
                <w:rFonts w:ascii="Times New Roman" w:hAnsi="Times New Roman"/>
                <w:i/>
                <w:iCs/>
                <w:color w:val="000000"/>
                <w:sz w:val="22"/>
                <w:szCs w:val="22"/>
              </w:rPr>
            </w:pPr>
            <w:r w:rsidRPr="005C2DFF">
              <w:rPr>
                <w:rFonts w:ascii="Times New Roman" w:hAnsi="Times New Roman"/>
                <w:i/>
                <w:i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11DD11FB" w14:textId="6ACAC64C">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4,252</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69078FA4" w14:textId="55F2CEC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21,</w:t>
            </w:r>
            <w:r w:rsidRPr="005C2DFF" w:rsidR="005C24BF">
              <w:rPr>
                <w:rFonts w:ascii="Times New Roman" w:hAnsi="Times New Roman"/>
                <w:b/>
                <w:bCs/>
                <w:i/>
                <w:iCs/>
                <w:sz w:val="22"/>
                <w:szCs w:val="22"/>
              </w:rPr>
              <w:t>364</w:t>
            </w:r>
          </w:p>
        </w:tc>
        <w:tc>
          <w:tcPr>
            <w:tcW w:w="9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621E6F07"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w:t>
            </w:r>
          </w:p>
        </w:tc>
        <w:tc>
          <w:tcPr>
            <w:tcW w:w="12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B61019" w:rsidRPr="005C2DFF" w:rsidP="005C2DFF" w14:paraId="44964153" w14:textId="5EF393E4">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$1,</w:t>
            </w:r>
            <w:r w:rsidRPr="005C2DFF" w:rsidR="00B97DB8">
              <w:rPr>
                <w:rFonts w:ascii="Times New Roman" w:hAnsi="Times New Roman"/>
                <w:b/>
                <w:bCs/>
                <w:i/>
                <w:iCs/>
                <w:sz w:val="22"/>
                <w:szCs w:val="22"/>
              </w:rPr>
              <w:t>323,653</w:t>
            </w:r>
            <w:r w:rsidRPr="005C2DFF">
              <w:rPr>
                <w:rFonts w:ascii="Times New Roman" w:hAnsi="Times New Roman"/>
                <w:b/>
                <w:bCs/>
                <w:i/>
                <w:iCs/>
                <w:sz w:val="22"/>
                <w:szCs w:val="22"/>
              </w:rPr>
              <w:t xml:space="preserve"> </w:t>
            </w:r>
          </w:p>
        </w:tc>
      </w:tr>
      <w:tr w14:paraId="685534FD" w14:textId="77777777" w:rsidTr="00DD3872">
        <w:tblPrEx>
          <w:tblW w:w="9710" w:type="dxa"/>
          <w:jc w:val="center"/>
          <w:tblLayout w:type="fixed"/>
          <w:tblLook w:val="04A0"/>
        </w:tblPrEx>
        <w:trPr>
          <w:trHeight w:val="320"/>
          <w:jc w:val="center"/>
        </w:trPr>
        <w:tc>
          <w:tcPr>
            <w:tcW w:w="800"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9D656A" w14:paraId="7B6ACD3A" w14:textId="77777777">
            <w:pPr>
              <w:widowControl/>
              <w:autoSpaceDE/>
              <w:autoSpaceDN/>
              <w:adjustRightInd/>
              <w:jc w:val="center"/>
              <w:rPr>
                <w:rFonts w:ascii="Times New Roman" w:hAnsi="Times New Roman"/>
                <w:b/>
                <w:bCs/>
                <w:color w:val="000000"/>
                <w:sz w:val="22"/>
                <w:szCs w:val="22"/>
              </w:rPr>
            </w:pPr>
            <w:r w:rsidRPr="005C2DFF">
              <w:rPr>
                <w:rFonts w:ascii="Times New Roman" w:hAnsi="Times New Roman"/>
                <w:b/>
                <w:bCs/>
                <w:sz w:val="22"/>
                <w:szCs w:val="22"/>
              </w:rPr>
              <w:t>All Years</w:t>
            </w:r>
          </w:p>
        </w:tc>
        <w:tc>
          <w:tcPr>
            <w:tcW w:w="243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4B502002"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TOTAL</w:t>
            </w:r>
          </w:p>
        </w:tc>
        <w:tc>
          <w:tcPr>
            <w:tcW w:w="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5BE8C2F8"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8</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0B8C808F" w14:textId="77777777">
            <w:pPr>
              <w:widowControl/>
              <w:autoSpaceDE/>
              <w:autoSpaceDN/>
              <w:adjustRightInd/>
              <w:rPr>
                <w:rFonts w:ascii="Times New Roman" w:hAnsi="Times New Roman"/>
                <w:i/>
                <w:iCs/>
                <w:color w:val="000000"/>
                <w:sz w:val="22"/>
                <w:szCs w:val="22"/>
              </w:rPr>
            </w:pPr>
            <w:r w:rsidRPr="005C2DFF">
              <w:rPr>
                <w:rFonts w:ascii="Times New Roman" w:hAnsi="Times New Roman"/>
                <w:i/>
                <w:iCs/>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9D656A" w:rsidRPr="005C2DFF" w:rsidP="005C2DFF" w14:paraId="282CA6F9" w14:textId="3FE0C3D7">
            <w:pPr>
              <w:widowControl/>
              <w:autoSpaceDE/>
              <w:autoSpaceDN/>
              <w:adjustRightInd/>
              <w:rPr>
                <w:rFonts w:ascii="Times New Roman" w:hAnsi="Times New Roman"/>
                <w:b/>
                <w:bCs/>
                <w:sz w:val="22"/>
                <w:szCs w:val="22"/>
              </w:rPr>
            </w:pPr>
            <w:r w:rsidRPr="005C2DFF">
              <w:rPr>
                <w:rFonts w:ascii="Times New Roman" w:hAnsi="Times New Roman"/>
                <w:b/>
                <w:bCs/>
                <w:sz w:val="22"/>
                <w:szCs w:val="22"/>
              </w:rPr>
              <w:t>12,755</w:t>
            </w:r>
          </w:p>
        </w:tc>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540E5AB3" w14:textId="2CC5DE28">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64,091</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45BA605D" w14:textId="77777777">
            <w:pPr>
              <w:widowControl/>
              <w:autoSpaceDE/>
              <w:autoSpaceDN/>
              <w:adjustRightInd/>
              <w:rPr>
                <w:rFonts w:ascii="Times New Roman" w:hAnsi="Times New Roman"/>
                <w:b/>
                <w:bCs/>
                <w:i/>
                <w:iCs/>
                <w:color w:val="000000"/>
                <w:sz w:val="22"/>
                <w:szCs w:val="22"/>
              </w:rPr>
            </w:pPr>
            <w:r w:rsidRPr="005C2DFF">
              <w:rPr>
                <w:rFonts w:ascii="Times New Roman" w:hAnsi="Times New Roman"/>
                <w:b/>
                <w:bCs/>
                <w:i/>
                <w:iCs/>
                <w:sz w:val="22"/>
                <w:szCs w:val="22"/>
              </w:rPr>
              <w:t>–</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1A0FB9BD" w14:textId="5090BB21">
            <w:pPr>
              <w:widowControl/>
              <w:autoSpaceDE/>
              <w:autoSpaceDN/>
              <w:adjustRightInd/>
              <w:rPr>
                <w:rFonts w:ascii="Times New Roman" w:hAnsi="Times New Roman"/>
                <w:b/>
                <w:bCs/>
                <w:color w:val="000000"/>
                <w:sz w:val="22"/>
                <w:szCs w:val="22"/>
              </w:rPr>
            </w:pPr>
            <w:bookmarkStart w:id="11" w:name="_Hlk110900726"/>
            <w:r w:rsidRPr="005C2DFF">
              <w:rPr>
                <w:rFonts w:ascii="Times New Roman" w:hAnsi="Times New Roman"/>
                <w:b/>
                <w:bCs/>
                <w:sz w:val="22"/>
                <w:szCs w:val="22"/>
              </w:rPr>
              <w:t>$3,</w:t>
            </w:r>
            <w:r w:rsidRPr="005C2DFF" w:rsidR="00B97DB8">
              <w:rPr>
                <w:rFonts w:ascii="Times New Roman" w:hAnsi="Times New Roman"/>
                <w:b/>
                <w:bCs/>
                <w:sz w:val="22"/>
                <w:szCs w:val="22"/>
              </w:rPr>
              <w:t>970,959</w:t>
            </w:r>
            <w:r w:rsidRPr="005C2DFF">
              <w:rPr>
                <w:rFonts w:ascii="Times New Roman" w:hAnsi="Times New Roman"/>
                <w:b/>
                <w:bCs/>
                <w:sz w:val="22"/>
                <w:szCs w:val="22"/>
              </w:rPr>
              <w:t xml:space="preserve"> </w:t>
            </w:r>
            <w:bookmarkEnd w:id="11"/>
          </w:p>
        </w:tc>
      </w:tr>
      <w:tr w14:paraId="5C78E7AC" w14:textId="77777777" w:rsidTr="00DD3872">
        <w:tblPrEx>
          <w:tblW w:w="9710" w:type="dxa"/>
          <w:jc w:val="center"/>
          <w:tblLayout w:type="fixed"/>
          <w:tblLook w:val="04A0"/>
        </w:tblPrEx>
        <w:trPr>
          <w:trHeight w:val="320"/>
          <w:jc w:val="center"/>
        </w:trPr>
        <w:tc>
          <w:tcPr>
            <w:tcW w:w="800" w:type="dxa"/>
            <w:vMerge/>
            <w:tcBorders>
              <w:top w:val="single" w:sz="8" w:space="0" w:color="auto"/>
              <w:left w:val="single" w:sz="8" w:space="0" w:color="auto"/>
              <w:bottom w:val="single" w:sz="8" w:space="0" w:color="auto"/>
              <w:right w:val="single" w:sz="8" w:space="0" w:color="auto"/>
            </w:tcBorders>
            <w:vAlign w:val="center"/>
            <w:hideMark/>
          </w:tcPr>
          <w:p w:rsidR="009D656A" w:rsidRPr="005C2DFF" w:rsidP="009D656A" w14:paraId="27DEC9FE" w14:textId="77777777">
            <w:pPr>
              <w:widowControl/>
              <w:autoSpaceDE/>
              <w:autoSpaceDN/>
              <w:adjustRightInd/>
              <w:rPr>
                <w:rFonts w:ascii="Times New Roman" w:hAnsi="Times New Roman"/>
                <w:b/>
                <w:bCs/>
                <w:color w:val="000000"/>
                <w:sz w:val="22"/>
                <w:szCs w:val="22"/>
              </w:rPr>
            </w:pPr>
          </w:p>
        </w:tc>
        <w:tc>
          <w:tcPr>
            <w:tcW w:w="243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28F7E752"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Annual Average</w:t>
            </w:r>
          </w:p>
        </w:tc>
        <w:tc>
          <w:tcPr>
            <w:tcW w:w="72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49720AA8"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8</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370FAF04" w14:textId="77777777">
            <w:pPr>
              <w:widowControl/>
              <w:autoSpaceDE/>
              <w:autoSpaceDN/>
              <w:adjustRightInd/>
              <w:rPr>
                <w:rFonts w:ascii="Times New Roman" w:hAnsi="Times New Roman"/>
                <w:color w:val="000000"/>
                <w:sz w:val="22"/>
                <w:szCs w:val="22"/>
              </w:rPr>
            </w:pPr>
            <w:r w:rsidRPr="005C2DFF">
              <w:rPr>
                <w:rFonts w:ascii="Times New Roman" w:hAnsi="Times New Roman"/>
                <w:sz w:val="22"/>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9D656A" w:rsidRPr="005C2DFF" w:rsidP="005C2DFF" w14:paraId="6FB9FA14" w14:textId="17C5C480">
            <w:pPr>
              <w:widowControl/>
              <w:autoSpaceDE/>
              <w:autoSpaceDN/>
              <w:adjustRightInd/>
              <w:rPr>
                <w:rFonts w:ascii="Times New Roman" w:hAnsi="Times New Roman"/>
                <w:b/>
                <w:bCs/>
                <w:sz w:val="22"/>
                <w:szCs w:val="22"/>
              </w:rPr>
            </w:pPr>
            <w:r w:rsidRPr="005C2DFF">
              <w:rPr>
                <w:rFonts w:ascii="Times New Roman" w:hAnsi="Times New Roman"/>
                <w:b/>
                <w:bCs/>
                <w:sz w:val="22"/>
                <w:szCs w:val="22"/>
              </w:rPr>
              <w:t>4,252</w:t>
            </w:r>
          </w:p>
        </w:tc>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4CBBB1FF" w14:textId="64522321">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21,</w:t>
            </w:r>
            <w:r w:rsidRPr="005C2DFF" w:rsidR="005C24BF">
              <w:rPr>
                <w:rFonts w:ascii="Times New Roman" w:hAnsi="Times New Roman"/>
                <w:b/>
                <w:bCs/>
                <w:sz w:val="22"/>
                <w:szCs w:val="22"/>
              </w:rPr>
              <w:t>364</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57A870A8" w14:textId="77777777">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9D656A" w:rsidRPr="005C2DFF" w:rsidP="005C2DFF" w14:paraId="73F6C1E2" w14:textId="550F9D91">
            <w:pPr>
              <w:widowControl/>
              <w:autoSpaceDE/>
              <w:autoSpaceDN/>
              <w:adjustRightInd/>
              <w:rPr>
                <w:rFonts w:ascii="Times New Roman" w:hAnsi="Times New Roman"/>
                <w:b/>
                <w:bCs/>
                <w:color w:val="000000"/>
                <w:sz w:val="22"/>
                <w:szCs w:val="22"/>
              </w:rPr>
            </w:pPr>
            <w:r w:rsidRPr="005C2DFF">
              <w:rPr>
                <w:rFonts w:ascii="Times New Roman" w:hAnsi="Times New Roman"/>
                <w:b/>
                <w:bCs/>
                <w:sz w:val="22"/>
                <w:szCs w:val="22"/>
              </w:rPr>
              <w:t>$1,</w:t>
            </w:r>
            <w:r w:rsidRPr="005C2DFF" w:rsidR="00B97DB8">
              <w:rPr>
                <w:rFonts w:ascii="Times New Roman" w:hAnsi="Times New Roman"/>
                <w:b/>
                <w:bCs/>
                <w:sz w:val="22"/>
                <w:szCs w:val="22"/>
              </w:rPr>
              <w:t>323,653</w:t>
            </w:r>
            <w:r w:rsidRPr="005C2DFF">
              <w:rPr>
                <w:rFonts w:ascii="Times New Roman" w:hAnsi="Times New Roman"/>
                <w:b/>
                <w:bCs/>
                <w:sz w:val="22"/>
                <w:szCs w:val="22"/>
              </w:rPr>
              <w:t xml:space="preserve"> </w:t>
            </w:r>
          </w:p>
        </w:tc>
      </w:tr>
    </w:tbl>
    <w:p w:rsidR="00B61019" w:rsidRPr="00644586" w:rsidP="00697D42" w14:paraId="693D6D61" w14:textId="77777777">
      <w:pPr>
        <w:keepNext/>
        <w:widowControl/>
        <w:rPr>
          <w:rFonts w:ascii="Times New Roman" w:hAnsi="Times New Roman"/>
          <w:b/>
          <w:sz w:val="24"/>
          <w:szCs w:val="24"/>
        </w:rPr>
      </w:pPr>
    </w:p>
    <w:p w:rsidR="00E9142F" w:rsidRPr="004D67B0" w:rsidP="00697D42" w14:paraId="72EEF7DC" w14:textId="77AB67F4">
      <w:pPr>
        <w:pStyle w:val="ListParagraph"/>
        <w:widowControl/>
        <w:numPr>
          <w:ilvl w:val="0"/>
          <w:numId w:val="37"/>
        </w:numPr>
        <w:tabs>
          <w:tab w:val="left" w:pos="-1440"/>
          <w:tab w:val="left" w:pos="-720"/>
        </w:tabs>
        <w:ind w:left="72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total</w:t>
      </w:r>
      <w:r w:rsidRPr="00644586">
        <w:rPr>
          <w:rFonts w:ascii="Times New Roman" w:hAnsi="Times New Roman"/>
          <w:sz w:val="24"/>
          <w:szCs w:val="24"/>
        </w:rPr>
        <w:t xml:space="preserve"> estimated labor cost to the Federal Government is </w:t>
      </w:r>
      <w:r w:rsidRPr="00B61019" w:rsidR="00B61019">
        <w:rPr>
          <w:rFonts w:ascii="Times New Roman" w:hAnsi="Times New Roman"/>
          <w:sz w:val="24"/>
          <w:szCs w:val="24"/>
        </w:rPr>
        <w:t>$3,</w:t>
      </w:r>
      <w:r w:rsidR="004943BF">
        <w:rPr>
          <w:rFonts w:ascii="Times New Roman" w:hAnsi="Times New Roman"/>
          <w:sz w:val="24"/>
          <w:szCs w:val="24"/>
        </w:rPr>
        <w:t>970,959</w:t>
      </w:r>
      <w:r w:rsidRPr="00B61019" w:rsidR="00B61019">
        <w:rPr>
          <w:rFonts w:ascii="Times New Roman" w:hAnsi="Times New Roman"/>
          <w:sz w:val="24"/>
          <w:szCs w:val="24"/>
        </w:rPr>
        <w:t xml:space="preserve"> </w:t>
      </w:r>
      <w:r w:rsidRPr="00644586">
        <w:rPr>
          <w:rFonts w:ascii="Times New Roman" w:hAnsi="Times New Roman"/>
          <w:sz w:val="24"/>
          <w:szCs w:val="24"/>
        </w:rPr>
        <w:t>[</w:t>
      </w:r>
      <w:r w:rsidRPr="00B61019" w:rsidR="00B61019">
        <w:rPr>
          <w:rFonts w:ascii="Times New Roman" w:hAnsi="Times New Roman"/>
          <w:sz w:val="24"/>
          <w:szCs w:val="24"/>
        </w:rPr>
        <w:t>$1,</w:t>
      </w:r>
      <w:r w:rsidR="004943BF">
        <w:rPr>
          <w:rFonts w:ascii="Times New Roman" w:hAnsi="Times New Roman"/>
          <w:sz w:val="24"/>
          <w:szCs w:val="24"/>
        </w:rPr>
        <w:t xml:space="preserve">323,653 </w:t>
      </w:r>
      <w:r>
        <w:rPr>
          <w:rFonts w:ascii="Times New Roman" w:hAnsi="Times New Roman"/>
          <w:sz w:val="24"/>
          <w:szCs w:val="24"/>
        </w:rPr>
        <w:t>per year*3 years</w:t>
      </w:r>
      <w:r w:rsidRPr="00644586">
        <w:rPr>
          <w:rFonts w:ascii="Times New Roman" w:hAnsi="Times New Roman"/>
          <w:sz w:val="24"/>
          <w:szCs w:val="24"/>
        </w:rPr>
        <w:t>].</w:t>
      </w:r>
    </w:p>
    <w:p w:rsidR="004D67B0" w:rsidRPr="00644586" w:rsidP="004D67B0" w14:paraId="5E9EA0A3" w14:textId="77777777">
      <w:pPr>
        <w:pStyle w:val="ListParagraph"/>
        <w:widowControl/>
        <w:tabs>
          <w:tab w:val="left" w:pos="-1440"/>
          <w:tab w:val="left" w:pos="-720"/>
        </w:tabs>
        <w:rPr>
          <w:rFonts w:ascii="Times New Roman" w:hAnsi="Times New Roman"/>
          <w:b/>
          <w:sz w:val="24"/>
          <w:szCs w:val="24"/>
        </w:rPr>
      </w:pPr>
    </w:p>
    <w:p w:rsidR="004D67B0" w:rsidRPr="004D67B0" w:rsidP="004D67B0" w14:paraId="4975B73D" w14:textId="3954E414">
      <w:pPr>
        <w:pStyle w:val="ListParagraph"/>
        <w:numPr>
          <w:ilvl w:val="0"/>
          <w:numId w:val="37"/>
        </w:numPr>
        <w:tabs>
          <w:tab w:val="left" w:pos="-1440"/>
          <w:tab w:val="left" w:pos="-720"/>
        </w:tabs>
        <w:ind w:left="720"/>
        <w:rPr>
          <w:rFonts w:ascii="Times New Roman" w:hAnsi="Times New Roman"/>
          <w:b/>
          <w:sz w:val="24"/>
          <w:szCs w:val="24"/>
        </w:rPr>
      </w:pPr>
      <w:r w:rsidRPr="00644586">
        <w:rPr>
          <w:rFonts w:ascii="Times New Roman" w:hAnsi="Times New Roman"/>
          <w:sz w:val="24"/>
          <w:szCs w:val="24"/>
        </w:rPr>
        <w:t xml:space="preserve">The </w:t>
      </w:r>
      <w:r w:rsidRPr="00644586">
        <w:rPr>
          <w:rFonts w:ascii="Times New Roman" w:hAnsi="Times New Roman"/>
          <w:sz w:val="24"/>
          <w:szCs w:val="24"/>
          <w:u w:val="single"/>
        </w:rPr>
        <w:t>annual</w:t>
      </w:r>
      <w:r w:rsidRPr="00644586">
        <w:rPr>
          <w:rFonts w:ascii="Times New Roman" w:hAnsi="Times New Roman"/>
          <w:sz w:val="24"/>
          <w:szCs w:val="24"/>
        </w:rPr>
        <w:t xml:space="preserve"> estimated labor cost to the Federal Government is $</w:t>
      </w:r>
      <w:r w:rsidRPr="00B61019" w:rsidR="00B61019">
        <w:rPr>
          <w:rFonts w:ascii="Times New Roman" w:hAnsi="Times New Roman"/>
          <w:sz w:val="24"/>
          <w:szCs w:val="24"/>
        </w:rPr>
        <w:t>1</w:t>
      </w:r>
      <w:r w:rsidR="004943BF">
        <w:rPr>
          <w:rFonts w:ascii="Times New Roman" w:hAnsi="Times New Roman"/>
          <w:sz w:val="24"/>
          <w:szCs w:val="24"/>
        </w:rPr>
        <w:t>,323,653</w:t>
      </w:r>
      <w:r w:rsidRPr="00B61019" w:rsidR="00B61019">
        <w:rPr>
          <w:rFonts w:ascii="Times New Roman" w:hAnsi="Times New Roman"/>
          <w:sz w:val="24"/>
          <w:szCs w:val="24"/>
        </w:rPr>
        <w:t xml:space="preserve"> </w:t>
      </w:r>
      <w:r w:rsidRPr="00644586">
        <w:rPr>
          <w:rFonts w:ascii="Times New Roman" w:hAnsi="Times New Roman"/>
          <w:sz w:val="24"/>
          <w:szCs w:val="24"/>
        </w:rPr>
        <w:t>[$</w:t>
      </w:r>
      <w:r w:rsidR="004943BF">
        <w:rPr>
          <w:rFonts w:ascii="Times New Roman" w:hAnsi="Times New Roman"/>
          <w:sz w:val="24"/>
          <w:szCs w:val="24"/>
        </w:rPr>
        <w:t>3,970,959</w:t>
      </w:r>
      <w:r w:rsidRPr="00644586">
        <w:rPr>
          <w:rFonts w:ascii="Times New Roman" w:hAnsi="Times New Roman"/>
          <w:sz w:val="24"/>
          <w:szCs w:val="24"/>
        </w:rPr>
        <w:t>/3 years].</w:t>
      </w:r>
    </w:p>
    <w:p w:rsidR="004D67B0" w:rsidRPr="004D67B0" w:rsidP="004D67B0" w14:paraId="17962461" w14:textId="77777777">
      <w:pPr>
        <w:tabs>
          <w:tab w:val="left" w:pos="-1440"/>
          <w:tab w:val="left" w:pos="-720"/>
        </w:tabs>
        <w:ind w:left="720"/>
        <w:rPr>
          <w:rFonts w:ascii="Times New Roman" w:hAnsi="Times New Roman"/>
          <w:b/>
          <w:sz w:val="24"/>
          <w:szCs w:val="24"/>
        </w:rPr>
      </w:pPr>
    </w:p>
    <w:p w:rsidR="00E9142F" w:rsidRPr="002A6B67" w:rsidP="00697D42" w14:paraId="3EA6FA5C" w14:textId="1EDB5078">
      <w:pPr>
        <w:pStyle w:val="ListParagraph"/>
        <w:numPr>
          <w:ilvl w:val="0"/>
          <w:numId w:val="37"/>
        </w:numPr>
        <w:tabs>
          <w:tab w:val="left" w:pos="-1440"/>
          <w:tab w:val="left" w:pos="-720"/>
        </w:tabs>
        <w:ind w:left="720"/>
        <w:rPr>
          <w:rFonts w:ascii="Times New Roman" w:hAnsi="Times New Roman"/>
          <w:b/>
          <w:sz w:val="24"/>
          <w:szCs w:val="24"/>
        </w:rPr>
      </w:pPr>
      <w:r w:rsidRPr="00644586">
        <w:rPr>
          <w:rFonts w:ascii="Times New Roman" w:hAnsi="Times New Roman"/>
          <w:sz w:val="24"/>
          <w:szCs w:val="24"/>
        </w:rPr>
        <w:t>The total estimated cost to the Federal Government, including IT costs and staff support is $</w:t>
      </w:r>
      <w:bookmarkStart w:id="12" w:name="_Hlk25307703"/>
      <w:r w:rsidR="00525F88">
        <w:rPr>
          <w:rFonts w:ascii="Times New Roman" w:hAnsi="Times New Roman"/>
          <w:sz w:val="24"/>
          <w:szCs w:val="24"/>
        </w:rPr>
        <w:t>6,</w:t>
      </w:r>
      <w:r w:rsidR="00CE2DA0">
        <w:rPr>
          <w:rFonts w:ascii="Times New Roman" w:hAnsi="Times New Roman"/>
          <w:sz w:val="24"/>
          <w:szCs w:val="24"/>
        </w:rPr>
        <w:t>453,612</w:t>
      </w:r>
      <w:r w:rsidRPr="00B61019" w:rsidR="00B61019">
        <w:rPr>
          <w:rFonts w:ascii="Times New Roman" w:hAnsi="Times New Roman"/>
          <w:sz w:val="24"/>
          <w:szCs w:val="24"/>
        </w:rPr>
        <w:t xml:space="preserve"> </w:t>
      </w:r>
      <w:bookmarkEnd w:id="12"/>
      <w:r w:rsidRPr="00644586">
        <w:rPr>
          <w:rFonts w:ascii="Times New Roman" w:hAnsi="Times New Roman"/>
          <w:sz w:val="24"/>
          <w:szCs w:val="24"/>
        </w:rPr>
        <w:t>[$</w:t>
      </w:r>
      <w:r w:rsidR="00CE2DA0">
        <w:rPr>
          <w:rFonts w:ascii="Times New Roman" w:hAnsi="Times New Roman"/>
          <w:sz w:val="24"/>
          <w:szCs w:val="24"/>
        </w:rPr>
        <w:t>3,970,959</w:t>
      </w:r>
      <w:r w:rsidRPr="00B61019" w:rsidR="00B61019">
        <w:rPr>
          <w:rFonts w:ascii="Times New Roman" w:hAnsi="Times New Roman"/>
          <w:sz w:val="24"/>
          <w:szCs w:val="24"/>
        </w:rPr>
        <w:t xml:space="preserve"> </w:t>
      </w:r>
      <w:r w:rsidRPr="00644586">
        <w:rPr>
          <w:rFonts w:ascii="Times New Roman" w:hAnsi="Times New Roman"/>
          <w:sz w:val="24"/>
          <w:szCs w:val="24"/>
        </w:rPr>
        <w:t>in total labor costs + $2,482,652.82 in total IT costs].</w:t>
      </w:r>
    </w:p>
    <w:p w:rsidR="00E9142F" w:rsidRPr="00644586" w:rsidP="00697D42" w14:paraId="625DE2A5" w14:textId="77777777">
      <w:pPr>
        <w:pStyle w:val="ListParagraph"/>
        <w:tabs>
          <w:tab w:val="left" w:pos="-1440"/>
          <w:tab w:val="left" w:pos="-720"/>
        </w:tabs>
        <w:rPr>
          <w:rFonts w:ascii="Times New Roman" w:hAnsi="Times New Roman"/>
          <w:b/>
          <w:sz w:val="24"/>
          <w:szCs w:val="24"/>
        </w:rPr>
      </w:pPr>
    </w:p>
    <w:p w:rsidR="00E9142F" w:rsidRPr="00644586" w:rsidP="00E9142F" w14:paraId="46CCB74C" w14:textId="77777777">
      <w:pPr>
        <w:numPr>
          <w:ilvl w:val="0"/>
          <w:numId w:val="31"/>
        </w:numPr>
        <w:rPr>
          <w:rFonts w:ascii="Times New Roman" w:hAnsi="Times New Roman"/>
          <w:bCs/>
          <w:sz w:val="24"/>
          <w:szCs w:val="24"/>
        </w:rPr>
      </w:pPr>
      <w:r w:rsidRPr="00644586">
        <w:rPr>
          <w:rFonts w:ascii="Times New Roman" w:hAnsi="Times New Roman"/>
          <w:b/>
          <w:bCs/>
          <w:sz w:val="24"/>
          <w:szCs w:val="24"/>
        </w:rPr>
        <w:t>EXPLANATION OF PROGRAM CHANGES OR ADJUSTMENTS</w:t>
      </w:r>
    </w:p>
    <w:p w:rsidR="00697D42" w:rsidP="00697D42" w14:paraId="395BBBB8" w14:textId="77777777">
      <w:pPr>
        <w:ind w:left="360"/>
        <w:rPr>
          <w:rFonts w:ascii="Times New Roman" w:hAnsi="Times New Roman"/>
          <w:sz w:val="24"/>
          <w:szCs w:val="24"/>
        </w:rPr>
      </w:pPr>
    </w:p>
    <w:p w:rsidR="00CC3E6E" w:rsidRPr="00697D42" w:rsidP="00697D42" w14:paraId="0F5023DA" w14:textId="2B2EB17C">
      <w:pPr>
        <w:ind w:left="360"/>
        <w:rPr>
          <w:rFonts w:ascii="Times New Roman" w:hAnsi="Times New Roman"/>
          <w:sz w:val="24"/>
          <w:szCs w:val="24"/>
        </w:rPr>
      </w:pPr>
      <w:r w:rsidRPr="00697D42">
        <w:rPr>
          <w:rFonts w:ascii="Times New Roman" w:hAnsi="Times New Roman"/>
          <w:sz w:val="24"/>
          <w:szCs w:val="24"/>
        </w:rPr>
        <w:t>Table 7 below shows the changes in burden from the previously approved ICR.</w:t>
      </w:r>
    </w:p>
    <w:p w:rsidR="00697D42" w:rsidP="00697D42" w14:paraId="6319AFB3" w14:textId="77777777">
      <w:pPr>
        <w:ind w:left="360"/>
        <w:rPr>
          <w:rFonts w:ascii="Times New Roman" w:hAnsi="Times New Roman"/>
          <w:sz w:val="24"/>
          <w:szCs w:val="24"/>
        </w:rPr>
      </w:pPr>
    </w:p>
    <w:p w:rsidR="00F7493C" w:rsidP="00697D42" w14:paraId="40F12BDE" w14:textId="77777777">
      <w:pPr>
        <w:ind w:left="360"/>
        <w:rPr>
          <w:rFonts w:ascii="Times New Roman" w:hAnsi="Times New Roman"/>
          <w:sz w:val="24"/>
          <w:szCs w:val="24"/>
        </w:rPr>
      </w:pPr>
    </w:p>
    <w:p w:rsidR="00F7493C" w:rsidP="00697D42" w14:paraId="70C07960" w14:textId="77777777">
      <w:pPr>
        <w:ind w:left="360"/>
        <w:rPr>
          <w:rFonts w:ascii="Times New Roman" w:hAnsi="Times New Roman"/>
          <w:sz w:val="24"/>
          <w:szCs w:val="24"/>
        </w:rPr>
      </w:pPr>
    </w:p>
    <w:p w:rsidR="00F7493C" w:rsidP="00697D42" w14:paraId="6BEF4B99" w14:textId="77777777">
      <w:pPr>
        <w:ind w:left="360"/>
        <w:rPr>
          <w:rFonts w:ascii="Times New Roman" w:hAnsi="Times New Roman"/>
          <w:sz w:val="24"/>
          <w:szCs w:val="24"/>
        </w:rPr>
      </w:pPr>
    </w:p>
    <w:p w:rsidR="00F7493C" w:rsidP="00697D42" w14:paraId="26BBB9FA" w14:textId="77777777">
      <w:pPr>
        <w:ind w:left="360"/>
        <w:rPr>
          <w:rFonts w:ascii="Times New Roman" w:hAnsi="Times New Roman"/>
          <w:sz w:val="24"/>
          <w:szCs w:val="24"/>
        </w:rPr>
      </w:pPr>
    </w:p>
    <w:p w:rsidR="00F7493C" w:rsidP="00697D42" w14:paraId="7B5DA08A" w14:textId="77777777">
      <w:pPr>
        <w:ind w:left="360"/>
        <w:rPr>
          <w:rFonts w:ascii="Times New Roman" w:hAnsi="Times New Roman"/>
          <w:sz w:val="24"/>
          <w:szCs w:val="24"/>
        </w:rPr>
      </w:pPr>
    </w:p>
    <w:p w:rsidR="00956819" w:rsidP="00697D42" w14:paraId="6450D485" w14:textId="77777777">
      <w:pPr>
        <w:ind w:left="360"/>
        <w:jc w:val="center"/>
        <w:rPr>
          <w:rFonts w:ascii="Times New Roman" w:hAnsi="Times New Roman"/>
          <w:b/>
          <w:bCs/>
          <w:color w:val="000000"/>
          <w:sz w:val="24"/>
          <w:szCs w:val="24"/>
        </w:rPr>
      </w:pPr>
      <w:r w:rsidRPr="0A2E9F2C">
        <w:rPr>
          <w:rFonts w:ascii="Times New Roman" w:hAnsi="Times New Roman"/>
          <w:b/>
          <w:bCs/>
          <w:color w:val="000000" w:themeColor="text1"/>
          <w:sz w:val="24"/>
          <w:szCs w:val="24"/>
        </w:rPr>
        <w:t>Table 7. Total Change in Burden from Currently Approved IC</w:t>
      </w:r>
    </w:p>
    <w:p w:rsidR="006A4567" w:rsidRPr="00697D42" w:rsidP="00697D42" w14:paraId="6D7C4F24" w14:textId="77777777">
      <w:pPr>
        <w:ind w:left="360"/>
        <w:jc w:val="center"/>
        <w:rPr>
          <w:rFonts w:ascii="Times New Roman" w:hAnsi="Times New Roman"/>
          <w:b/>
          <w:bCs/>
          <w:color w:val="000000"/>
          <w:sz w:val="24"/>
          <w:szCs w:val="24"/>
        </w:rPr>
      </w:pPr>
    </w:p>
    <w:tbl>
      <w:tblPr>
        <w:tblW w:w="85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20"/>
        <w:gridCol w:w="1910"/>
        <w:gridCol w:w="1710"/>
        <w:gridCol w:w="1545"/>
      </w:tblGrid>
      <w:tr w14:paraId="1CAF434A" w14:textId="77777777" w:rsidTr="00F7493C">
        <w:tblPrEx>
          <w:tblW w:w="85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32"/>
          <w:jc w:val="center"/>
        </w:trPr>
        <w:tc>
          <w:tcPr>
            <w:tcW w:w="3420" w:type="dxa"/>
            <w:shd w:val="clear" w:color="000000" w:fill="E0E0E0"/>
            <w:vAlign w:val="center"/>
            <w:hideMark/>
          </w:tcPr>
          <w:p w:rsidR="00956819" w:rsidRPr="005C2DFF" w:rsidP="00956819" w14:paraId="47B2E1BF" w14:textId="77777777">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Information Collection Version</w:t>
            </w:r>
          </w:p>
        </w:tc>
        <w:tc>
          <w:tcPr>
            <w:tcW w:w="1910" w:type="dxa"/>
            <w:shd w:val="clear" w:color="000000" w:fill="E0E0E0"/>
            <w:vAlign w:val="center"/>
            <w:hideMark/>
          </w:tcPr>
          <w:p w:rsidR="00956819" w:rsidRPr="005C2DFF" w:rsidP="00697D42" w14:paraId="348B4536" w14:textId="77777777">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Annual Number of Responses</w:t>
            </w:r>
          </w:p>
        </w:tc>
        <w:tc>
          <w:tcPr>
            <w:tcW w:w="1710" w:type="dxa"/>
            <w:shd w:val="clear" w:color="000000" w:fill="E0E0E0"/>
            <w:vAlign w:val="center"/>
            <w:hideMark/>
          </w:tcPr>
          <w:p w:rsidR="00956819" w:rsidRPr="005C2DFF" w:rsidP="00697D42" w14:paraId="5DEB06E0" w14:textId="77777777">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Annual Burden Hours</w:t>
            </w:r>
          </w:p>
        </w:tc>
        <w:tc>
          <w:tcPr>
            <w:tcW w:w="1545" w:type="dxa"/>
            <w:shd w:val="clear" w:color="000000" w:fill="E0E0E0"/>
            <w:vAlign w:val="center"/>
            <w:hideMark/>
          </w:tcPr>
          <w:p w:rsidR="00956819" w:rsidRPr="005C2DFF" w:rsidP="00697D42" w14:paraId="1C73AC8C" w14:textId="77777777">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Annual Cost Burden</w:t>
            </w:r>
          </w:p>
        </w:tc>
      </w:tr>
      <w:tr w14:paraId="58165677" w14:textId="77777777" w:rsidTr="00F7493C">
        <w:tblPrEx>
          <w:tblW w:w="8585" w:type="dxa"/>
          <w:jc w:val="center"/>
          <w:tblLook w:val="04A0"/>
        </w:tblPrEx>
        <w:trPr>
          <w:trHeight w:val="205"/>
          <w:jc w:val="center"/>
        </w:trPr>
        <w:tc>
          <w:tcPr>
            <w:tcW w:w="3420" w:type="dxa"/>
            <w:tcBorders>
              <w:bottom w:val="single" w:sz="8" w:space="0" w:color="auto"/>
            </w:tcBorders>
            <w:shd w:val="clear" w:color="000000" w:fill="FFFFFF"/>
            <w:vAlign w:val="center"/>
            <w:hideMark/>
          </w:tcPr>
          <w:p w:rsidR="007B2B64" w:rsidRPr="005C2DFF" w:rsidP="007B2B64" w14:paraId="0AB52BDA" w14:textId="77777777">
            <w:pPr>
              <w:widowControl/>
              <w:autoSpaceDE/>
              <w:autoSpaceDN/>
              <w:adjustRightInd/>
              <w:rPr>
                <w:rFonts w:ascii="Times New Roman" w:hAnsi="Times New Roman"/>
                <w:color w:val="000000"/>
                <w:sz w:val="24"/>
                <w:szCs w:val="24"/>
              </w:rPr>
            </w:pPr>
            <w:r w:rsidRPr="005C2DFF">
              <w:rPr>
                <w:rFonts w:ascii="Times New Roman" w:hAnsi="Times New Roman"/>
                <w:color w:val="000000"/>
                <w:sz w:val="24"/>
                <w:szCs w:val="24"/>
              </w:rPr>
              <w:t>Currently Approved under OMB Control Number 2126-0051</w:t>
            </w:r>
          </w:p>
        </w:tc>
        <w:tc>
          <w:tcPr>
            <w:tcW w:w="1910" w:type="dxa"/>
            <w:tcBorders>
              <w:bottom w:val="single" w:sz="8" w:space="0" w:color="auto"/>
            </w:tcBorders>
            <w:shd w:val="clear" w:color="000000" w:fill="FFFFFF"/>
            <w:vAlign w:val="center"/>
            <w:hideMark/>
          </w:tcPr>
          <w:p w:rsidR="007B2B64" w:rsidRPr="005C2DFF" w:rsidP="00697D42" w14:paraId="636005FC" w14:textId="4A0C6507">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94,619</w:t>
            </w:r>
          </w:p>
        </w:tc>
        <w:tc>
          <w:tcPr>
            <w:tcW w:w="1710" w:type="dxa"/>
            <w:tcBorders>
              <w:bottom w:val="single" w:sz="8" w:space="0" w:color="auto"/>
            </w:tcBorders>
            <w:shd w:val="clear" w:color="000000" w:fill="FFFFFF"/>
            <w:noWrap/>
            <w:vAlign w:val="center"/>
            <w:hideMark/>
          </w:tcPr>
          <w:p w:rsidR="007B2B64" w:rsidRPr="005C2DFF" w:rsidP="00697D42" w14:paraId="75D292CC" w14:textId="6694425D">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126,789</w:t>
            </w:r>
          </w:p>
        </w:tc>
        <w:tc>
          <w:tcPr>
            <w:tcW w:w="1545" w:type="dxa"/>
            <w:tcBorders>
              <w:bottom w:val="single" w:sz="8" w:space="0" w:color="auto"/>
            </w:tcBorders>
            <w:shd w:val="clear" w:color="000000" w:fill="FFFFFF"/>
            <w:noWrap/>
            <w:vAlign w:val="center"/>
            <w:hideMark/>
          </w:tcPr>
          <w:p w:rsidR="007B2B64" w:rsidRPr="005C2DFF" w:rsidP="00697D42" w14:paraId="2A569EC9" w14:textId="45C30232">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$5,472,233</w:t>
            </w:r>
          </w:p>
        </w:tc>
      </w:tr>
      <w:tr w14:paraId="6ECC7B0B" w14:textId="77777777" w:rsidTr="00F7493C">
        <w:tblPrEx>
          <w:tblW w:w="8585" w:type="dxa"/>
          <w:jc w:val="center"/>
          <w:tblLook w:val="04A0"/>
        </w:tblPrEx>
        <w:trPr>
          <w:trHeight w:val="88"/>
          <w:jc w:val="center"/>
        </w:trPr>
        <w:tc>
          <w:tcPr>
            <w:tcW w:w="3420" w:type="dxa"/>
            <w:tcBorders>
              <w:top w:val="single" w:sz="8" w:space="0" w:color="auto"/>
              <w:bottom w:val="single" w:sz="8" w:space="0" w:color="auto"/>
            </w:tcBorders>
            <w:shd w:val="clear" w:color="000000" w:fill="FFFFFF"/>
            <w:vAlign w:val="center"/>
            <w:hideMark/>
          </w:tcPr>
          <w:p w:rsidR="00AB57C2" w:rsidRPr="005C2DFF" w:rsidP="00AB57C2" w14:paraId="6BFFFE13" w14:textId="77777777">
            <w:pPr>
              <w:widowControl/>
              <w:autoSpaceDE/>
              <w:autoSpaceDN/>
              <w:adjustRightInd/>
              <w:rPr>
                <w:rFonts w:ascii="Times New Roman" w:hAnsi="Times New Roman"/>
                <w:color w:val="000000"/>
                <w:sz w:val="24"/>
                <w:szCs w:val="24"/>
              </w:rPr>
            </w:pPr>
            <w:r w:rsidRPr="005C2DFF">
              <w:rPr>
                <w:rFonts w:ascii="Times New Roman" w:hAnsi="Times New Roman"/>
                <w:color w:val="000000"/>
                <w:sz w:val="24"/>
                <w:szCs w:val="24"/>
              </w:rPr>
              <w:t>Revised Estimates</w:t>
            </w:r>
          </w:p>
        </w:tc>
        <w:tc>
          <w:tcPr>
            <w:tcW w:w="1910" w:type="dxa"/>
            <w:tcBorders>
              <w:top w:val="single" w:sz="8" w:space="0" w:color="auto"/>
              <w:bottom w:val="single" w:sz="8" w:space="0" w:color="auto"/>
            </w:tcBorders>
            <w:shd w:val="clear" w:color="000000" w:fill="FFFFFF"/>
            <w:vAlign w:val="center"/>
            <w:hideMark/>
          </w:tcPr>
          <w:p w:rsidR="00AB57C2" w:rsidRPr="005C2DFF" w:rsidP="00AB57C2" w14:paraId="56C31FDA" w14:textId="6937F058">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183,261</w:t>
            </w:r>
          </w:p>
        </w:tc>
        <w:tc>
          <w:tcPr>
            <w:tcW w:w="1710" w:type="dxa"/>
            <w:tcBorders>
              <w:top w:val="single" w:sz="8" w:space="0" w:color="auto"/>
              <w:bottom w:val="single" w:sz="8" w:space="0" w:color="auto"/>
            </w:tcBorders>
            <w:shd w:val="clear" w:color="000000" w:fill="FFFFFF"/>
            <w:noWrap/>
            <w:vAlign w:val="center"/>
            <w:hideMark/>
          </w:tcPr>
          <w:p w:rsidR="00AB57C2" w:rsidRPr="005C2DFF" w:rsidP="00AB57C2" w14:paraId="16A9DF44" w14:textId="74635552">
            <w:pPr>
              <w:widowControl/>
              <w:autoSpaceDE/>
              <w:autoSpaceDN/>
              <w:adjustRightInd/>
              <w:jc w:val="center"/>
              <w:rPr>
                <w:rFonts w:ascii="Times New Roman" w:hAnsi="Times New Roman"/>
                <w:color w:val="000000"/>
                <w:sz w:val="24"/>
                <w:szCs w:val="24"/>
              </w:rPr>
            </w:pPr>
            <w:r w:rsidRPr="005C2DFF">
              <w:rPr>
                <w:rFonts w:ascii="Times New Roman" w:hAnsi="Times New Roman"/>
                <w:color w:val="000000"/>
                <w:sz w:val="24"/>
                <w:szCs w:val="24"/>
              </w:rPr>
              <w:t>245,569</w:t>
            </w:r>
          </w:p>
        </w:tc>
        <w:tc>
          <w:tcPr>
            <w:tcW w:w="1545" w:type="dxa"/>
            <w:tcBorders>
              <w:top w:val="single" w:sz="8" w:space="0" w:color="auto"/>
              <w:left w:val="nil"/>
              <w:bottom w:val="single" w:sz="8" w:space="0" w:color="auto"/>
              <w:right w:val="single" w:sz="8" w:space="0" w:color="auto"/>
            </w:tcBorders>
            <w:shd w:val="clear" w:color="000000" w:fill="FFFFFF"/>
            <w:noWrap/>
            <w:vAlign w:val="center"/>
            <w:hideMark/>
          </w:tcPr>
          <w:p w:rsidR="00AB57C2" w:rsidRPr="00761C67" w:rsidP="00AB57C2" w14:paraId="0DE6EADB" w14:textId="13912BBC">
            <w:pPr>
              <w:widowControl/>
              <w:autoSpaceDE/>
              <w:autoSpaceDN/>
              <w:adjustRightInd/>
              <w:jc w:val="center"/>
              <w:rPr>
                <w:rFonts w:ascii="Times New Roman" w:hAnsi="Times New Roman"/>
                <w:color w:val="000000"/>
                <w:sz w:val="24"/>
                <w:szCs w:val="24"/>
              </w:rPr>
            </w:pPr>
            <w:r w:rsidRPr="00DD3872">
              <w:rPr>
                <w:rFonts w:ascii="Times New Roman" w:hAnsi="Times New Roman"/>
                <w:color w:val="000000"/>
                <w:sz w:val="24"/>
                <w:szCs w:val="24"/>
              </w:rPr>
              <w:t xml:space="preserve">$13,174,361 </w:t>
            </w:r>
          </w:p>
        </w:tc>
      </w:tr>
      <w:tr w14:paraId="7BAC63C9" w14:textId="77777777" w:rsidTr="00F7493C">
        <w:tblPrEx>
          <w:tblW w:w="8585" w:type="dxa"/>
          <w:jc w:val="center"/>
          <w:tblLook w:val="04A0"/>
        </w:tblPrEx>
        <w:trPr>
          <w:trHeight w:val="367"/>
          <w:jc w:val="center"/>
        </w:trPr>
        <w:tc>
          <w:tcPr>
            <w:tcW w:w="3420" w:type="dxa"/>
            <w:tcBorders>
              <w:top w:val="single" w:sz="8" w:space="0" w:color="auto"/>
              <w:bottom w:val="single" w:sz="8" w:space="0" w:color="auto"/>
            </w:tcBorders>
            <w:shd w:val="clear" w:color="000000" w:fill="FFFFFF"/>
            <w:vAlign w:val="center"/>
            <w:hideMark/>
          </w:tcPr>
          <w:p w:rsidR="00AB57C2" w:rsidRPr="005C2DFF" w:rsidP="00AB57C2" w14:paraId="35994AA2" w14:textId="77777777">
            <w:pPr>
              <w:widowControl/>
              <w:autoSpaceDE/>
              <w:autoSpaceDN/>
              <w:adjustRightInd/>
              <w:rPr>
                <w:rFonts w:ascii="Times New Roman" w:hAnsi="Times New Roman"/>
                <w:b/>
                <w:bCs/>
                <w:color w:val="000000"/>
                <w:sz w:val="24"/>
                <w:szCs w:val="24"/>
              </w:rPr>
            </w:pPr>
            <w:r w:rsidRPr="005C2DFF">
              <w:rPr>
                <w:rFonts w:ascii="Times New Roman" w:hAnsi="Times New Roman"/>
                <w:b/>
                <w:bCs/>
                <w:color w:val="000000"/>
                <w:sz w:val="24"/>
                <w:szCs w:val="24"/>
              </w:rPr>
              <w:t>Total Change in Burden from Currently Approved IC</w:t>
            </w:r>
          </w:p>
        </w:tc>
        <w:tc>
          <w:tcPr>
            <w:tcW w:w="1910" w:type="dxa"/>
            <w:tcBorders>
              <w:top w:val="single" w:sz="8" w:space="0" w:color="auto"/>
              <w:bottom w:val="single" w:sz="8" w:space="0" w:color="auto"/>
            </w:tcBorders>
            <w:shd w:val="clear" w:color="000000" w:fill="FFFFFF"/>
            <w:vAlign w:val="center"/>
            <w:hideMark/>
          </w:tcPr>
          <w:p w:rsidR="00AB57C2" w:rsidRPr="005C2DFF" w:rsidP="00AB57C2" w14:paraId="54D10995" w14:textId="48A0DCE6">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88,642</w:t>
            </w:r>
          </w:p>
        </w:tc>
        <w:tc>
          <w:tcPr>
            <w:tcW w:w="1710" w:type="dxa"/>
            <w:tcBorders>
              <w:top w:val="single" w:sz="8" w:space="0" w:color="auto"/>
              <w:bottom w:val="single" w:sz="8" w:space="0" w:color="auto"/>
            </w:tcBorders>
            <w:shd w:val="clear" w:color="000000" w:fill="FFFFFF"/>
            <w:vAlign w:val="center"/>
            <w:hideMark/>
          </w:tcPr>
          <w:p w:rsidR="00AB57C2" w:rsidRPr="005C2DFF" w:rsidP="00AB57C2" w14:paraId="72698612" w14:textId="7EED300B">
            <w:pPr>
              <w:widowControl/>
              <w:autoSpaceDE/>
              <w:autoSpaceDN/>
              <w:adjustRightInd/>
              <w:jc w:val="center"/>
              <w:rPr>
                <w:rFonts w:ascii="Times New Roman" w:hAnsi="Times New Roman"/>
                <w:b/>
                <w:bCs/>
                <w:color w:val="000000"/>
                <w:sz w:val="24"/>
                <w:szCs w:val="24"/>
              </w:rPr>
            </w:pPr>
            <w:r w:rsidRPr="005C2DFF">
              <w:rPr>
                <w:rFonts w:ascii="Times New Roman" w:hAnsi="Times New Roman"/>
                <w:b/>
                <w:bCs/>
                <w:color w:val="000000"/>
                <w:sz w:val="24"/>
                <w:szCs w:val="24"/>
              </w:rPr>
              <w:t>118,780</w:t>
            </w:r>
          </w:p>
        </w:tc>
        <w:tc>
          <w:tcPr>
            <w:tcW w:w="1545" w:type="dxa"/>
            <w:tcBorders>
              <w:top w:val="single" w:sz="8" w:space="0" w:color="auto"/>
              <w:left w:val="nil"/>
              <w:bottom w:val="single" w:sz="8" w:space="0" w:color="auto"/>
              <w:right w:val="single" w:sz="8" w:space="0" w:color="auto"/>
            </w:tcBorders>
            <w:shd w:val="clear" w:color="000000" w:fill="FFFFFF"/>
            <w:vAlign w:val="center"/>
            <w:hideMark/>
          </w:tcPr>
          <w:p w:rsidR="00AB57C2" w:rsidRPr="00761C67" w:rsidP="00AB57C2" w14:paraId="554964C9" w14:textId="3BBAD8C6">
            <w:pPr>
              <w:widowControl/>
              <w:autoSpaceDE/>
              <w:autoSpaceDN/>
              <w:adjustRightInd/>
              <w:jc w:val="center"/>
              <w:rPr>
                <w:rFonts w:ascii="Times New Roman" w:hAnsi="Times New Roman"/>
                <w:b/>
                <w:bCs/>
                <w:color w:val="000000"/>
                <w:sz w:val="24"/>
                <w:szCs w:val="24"/>
              </w:rPr>
            </w:pPr>
            <w:r w:rsidRPr="00DD3872">
              <w:rPr>
                <w:rFonts w:ascii="Times New Roman" w:hAnsi="Times New Roman"/>
                <w:b/>
                <w:bCs/>
                <w:color w:val="000000"/>
                <w:sz w:val="24"/>
                <w:szCs w:val="24"/>
              </w:rPr>
              <w:t>7,702,128</w:t>
            </w:r>
          </w:p>
        </w:tc>
      </w:tr>
    </w:tbl>
    <w:p w:rsidR="00E9142F" w:rsidRPr="0056376E" w:rsidP="00E9142F" w14:paraId="0516F7D8" w14:textId="77777777">
      <w:pPr>
        <w:rPr>
          <w:rFonts w:ascii="Times New Roman" w:hAnsi="Times New Roman"/>
          <w:sz w:val="24"/>
          <w:szCs w:val="24"/>
        </w:rPr>
      </w:pPr>
    </w:p>
    <w:p w:rsidR="00E9142F" w:rsidP="00E9142F" w14:paraId="6545CAEF" w14:textId="1BEB6133">
      <w:pPr>
        <w:ind w:left="360"/>
        <w:rPr>
          <w:rFonts w:ascii="Times New Roman" w:hAnsi="Times New Roman"/>
          <w:sz w:val="24"/>
          <w:szCs w:val="24"/>
        </w:rPr>
      </w:pPr>
      <w:r w:rsidRPr="00644586">
        <w:rPr>
          <w:rFonts w:ascii="Times New Roman" w:hAnsi="Times New Roman"/>
          <w:sz w:val="24"/>
          <w:szCs w:val="24"/>
        </w:rPr>
        <w:t xml:space="preserve">As can be seen, there have been </w:t>
      </w:r>
      <w:r w:rsidR="00907927">
        <w:rPr>
          <w:rFonts w:ascii="Times New Roman" w:hAnsi="Times New Roman"/>
          <w:sz w:val="24"/>
          <w:szCs w:val="24"/>
        </w:rPr>
        <w:t>increases</w:t>
      </w:r>
      <w:r w:rsidRPr="00644586" w:rsidR="00907927">
        <w:rPr>
          <w:rFonts w:ascii="Times New Roman" w:hAnsi="Times New Roman"/>
          <w:sz w:val="24"/>
          <w:szCs w:val="24"/>
        </w:rPr>
        <w:t xml:space="preserve"> </w:t>
      </w:r>
      <w:r w:rsidRPr="00644586">
        <w:rPr>
          <w:rFonts w:ascii="Times New Roman" w:hAnsi="Times New Roman"/>
          <w:sz w:val="24"/>
          <w:szCs w:val="24"/>
        </w:rPr>
        <w:t xml:space="preserve">in the number of respondents, </w:t>
      </w:r>
      <w:r w:rsidR="00F42A94">
        <w:rPr>
          <w:rFonts w:ascii="Times New Roman" w:hAnsi="Times New Roman"/>
          <w:sz w:val="24"/>
          <w:szCs w:val="24"/>
        </w:rPr>
        <w:t xml:space="preserve">burden hour estimates, </w:t>
      </w:r>
      <w:r w:rsidRPr="00644586">
        <w:rPr>
          <w:rFonts w:ascii="Times New Roman" w:hAnsi="Times New Roman"/>
          <w:sz w:val="24"/>
          <w:szCs w:val="24"/>
        </w:rPr>
        <w:t xml:space="preserve">labor costs to the industry, and costs to the Government. </w:t>
      </w:r>
      <w:r w:rsidR="00F42A94">
        <w:rPr>
          <w:rFonts w:ascii="Times New Roman" w:hAnsi="Times New Roman"/>
          <w:sz w:val="24"/>
          <w:szCs w:val="24"/>
        </w:rPr>
        <w:t>R</w:t>
      </w:r>
      <w:r w:rsidRPr="00644586">
        <w:rPr>
          <w:rFonts w:ascii="Times New Roman" w:hAnsi="Times New Roman"/>
          <w:sz w:val="24"/>
          <w:szCs w:val="24"/>
        </w:rPr>
        <w:t>easons for these changes</w:t>
      </w:r>
      <w:r w:rsidR="00F42A94">
        <w:rPr>
          <w:rFonts w:ascii="Times New Roman" w:hAnsi="Times New Roman"/>
          <w:sz w:val="24"/>
          <w:szCs w:val="24"/>
        </w:rPr>
        <w:t xml:space="preserve"> are described below</w:t>
      </w:r>
      <w:r w:rsidRPr="00644586">
        <w:rPr>
          <w:rFonts w:ascii="Times New Roman" w:hAnsi="Times New Roman"/>
          <w:sz w:val="24"/>
          <w:szCs w:val="24"/>
        </w:rPr>
        <w:t>.</w:t>
      </w:r>
    </w:p>
    <w:p w:rsidR="001F2734" w:rsidP="00E9142F" w14:paraId="21CD4306" w14:textId="064D649F">
      <w:pPr>
        <w:ind w:left="360"/>
        <w:rPr>
          <w:rFonts w:ascii="Times New Roman" w:hAnsi="Times New Roman"/>
          <w:sz w:val="24"/>
          <w:szCs w:val="24"/>
        </w:rPr>
      </w:pPr>
    </w:p>
    <w:p w:rsidR="001F2734" w:rsidRPr="00644586" w:rsidP="001F2734" w14:paraId="0736E66E" w14:textId="02202ABE">
      <w:pPr>
        <w:ind w:left="360"/>
        <w:rPr>
          <w:rFonts w:ascii="Times New Roman" w:hAnsi="Times New Roman"/>
          <w:sz w:val="24"/>
          <w:szCs w:val="24"/>
        </w:rPr>
      </w:pPr>
      <w:bookmarkStart w:id="13" w:name="_Hlk116678134"/>
      <w:r>
        <w:rPr>
          <w:rFonts w:ascii="Times New Roman" w:hAnsi="Times New Roman"/>
          <w:sz w:val="24"/>
          <w:szCs w:val="24"/>
        </w:rPr>
        <w:t xml:space="preserve">The increase in estimated responses and burden hours is a direct result of the increased number of respondents calculated based on </w:t>
      </w:r>
      <w:r w:rsidRPr="00644586">
        <w:rPr>
          <w:rFonts w:ascii="Times New Roman" w:hAnsi="Times New Roman"/>
          <w:sz w:val="24"/>
          <w:szCs w:val="24"/>
        </w:rPr>
        <w:t xml:space="preserve">the number of new entrants who applied using Form MCSA-1 during calendar years </w:t>
      </w:r>
      <w:r>
        <w:rPr>
          <w:rFonts w:ascii="Times New Roman" w:hAnsi="Times New Roman"/>
          <w:sz w:val="24"/>
          <w:szCs w:val="24"/>
        </w:rPr>
        <w:t>20</w:t>
      </w:r>
      <w:r w:rsidR="005947D2">
        <w:rPr>
          <w:rFonts w:ascii="Times New Roman" w:hAnsi="Times New Roman"/>
          <w:sz w:val="24"/>
          <w:szCs w:val="24"/>
        </w:rPr>
        <w:t>22</w:t>
      </w:r>
      <w:r>
        <w:rPr>
          <w:rFonts w:ascii="Times New Roman" w:hAnsi="Times New Roman"/>
          <w:sz w:val="24"/>
          <w:szCs w:val="24"/>
        </w:rPr>
        <w:t>, 202</w:t>
      </w:r>
      <w:r w:rsidR="005947D2">
        <w:rPr>
          <w:rFonts w:ascii="Times New Roman" w:hAnsi="Times New Roman"/>
          <w:sz w:val="24"/>
          <w:szCs w:val="24"/>
        </w:rPr>
        <w:t>3</w:t>
      </w:r>
      <w:r>
        <w:rPr>
          <w:rFonts w:ascii="Times New Roman" w:hAnsi="Times New Roman"/>
          <w:sz w:val="24"/>
          <w:szCs w:val="24"/>
        </w:rPr>
        <w:t xml:space="preserve"> and 202</w:t>
      </w:r>
      <w:r w:rsidR="005947D2">
        <w:rPr>
          <w:rFonts w:ascii="Times New Roman" w:hAnsi="Times New Roman"/>
          <w:sz w:val="24"/>
          <w:szCs w:val="24"/>
        </w:rPr>
        <w:t>4</w:t>
      </w:r>
      <w:r>
        <w:rPr>
          <w:rFonts w:ascii="Times New Roman" w:hAnsi="Times New Roman"/>
          <w:sz w:val="24"/>
          <w:szCs w:val="24"/>
        </w:rPr>
        <w:t>.</w:t>
      </w:r>
    </w:p>
    <w:bookmarkEnd w:id="13"/>
    <w:p w:rsidR="001F2734" w:rsidP="001F2734" w14:paraId="6032B1BF" w14:textId="77777777">
      <w:pPr>
        <w:ind w:left="360"/>
        <w:rPr>
          <w:rFonts w:ascii="Times New Roman" w:hAnsi="Times New Roman"/>
          <w:sz w:val="24"/>
          <w:szCs w:val="24"/>
        </w:rPr>
      </w:pPr>
    </w:p>
    <w:p w:rsidR="00E9142F" w:rsidP="00E9142F" w14:paraId="6FB43872" w14:textId="48A22713">
      <w:pPr>
        <w:ind w:left="360"/>
        <w:rPr>
          <w:rFonts w:ascii="Times New Roman" w:hAnsi="Times New Roman"/>
          <w:sz w:val="24"/>
          <w:szCs w:val="24"/>
        </w:rPr>
      </w:pPr>
      <w:r>
        <w:rPr>
          <w:rFonts w:ascii="Times New Roman" w:hAnsi="Times New Roman"/>
          <w:sz w:val="24"/>
          <w:szCs w:val="24"/>
        </w:rPr>
        <w:t>The</w:t>
      </w:r>
      <w:r w:rsidRPr="00644586">
        <w:rPr>
          <w:rFonts w:ascii="Times New Roman" w:hAnsi="Times New Roman"/>
          <w:sz w:val="24"/>
          <w:szCs w:val="24"/>
        </w:rPr>
        <w:t xml:space="preserve"> changes in labor cost to the industry</w:t>
      </w:r>
      <w:r>
        <w:rPr>
          <w:rFonts w:ascii="Times New Roman" w:hAnsi="Times New Roman"/>
          <w:sz w:val="24"/>
          <w:szCs w:val="24"/>
        </w:rPr>
        <w:t xml:space="preserve"> also</w:t>
      </w:r>
      <w:r w:rsidRPr="00644586">
        <w:rPr>
          <w:rFonts w:ascii="Times New Roman" w:hAnsi="Times New Roman"/>
          <w:sz w:val="24"/>
          <w:szCs w:val="24"/>
        </w:rPr>
        <w:t xml:space="preserve"> reflect </w:t>
      </w:r>
      <w:r w:rsidR="00F42A94">
        <w:rPr>
          <w:rFonts w:ascii="Times New Roman" w:hAnsi="Times New Roman"/>
          <w:sz w:val="24"/>
          <w:szCs w:val="24"/>
        </w:rPr>
        <w:t xml:space="preserve">the </w:t>
      </w:r>
      <w:r w:rsidR="00B41020">
        <w:rPr>
          <w:rFonts w:ascii="Times New Roman" w:hAnsi="Times New Roman"/>
          <w:sz w:val="24"/>
          <w:szCs w:val="24"/>
        </w:rPr>
        <w:t xml:space="preserve">increased </w:t>
      </w:r>
      <w:r w:rsidR="00F42A94">
        <w:rPr>
          <w:rFonts w:ascii="Times New Roman" w:hAnsi="Times New Roman"/>
          <w:sz w:val="24"/>
          <w:szCs w:val="24"/>
        </w:rPr>
        <w:t>estimate of annual respondents</w:t>
      </w:r>
      <w:r>
        <w:rPr>
          <w:rFonts w:ascii="Times New Roman" w:hAnsi="Times New Roman"/>
          <w:sz w:val="24"/>
          <w:szCs w:val="24"/>
        </w:rPr>
        <w:t>, as well as the BLS wage rates used to calculate respondent cost burden</w:t>
      </w:r>
      <w:r w:rsidR="00B41020">
        <w:rPr>
          <w:rFonts w:ascii="Times New Roman" w:hAnsi="Times New Roman"/>
          <w:sz w:val="24"/>
          <w:szCs w:val="24"/>
        </w:rPr>
        <w:t>.</w:t>
      </w:r>
    </w:p>
    <w:p w:rsidR="006A4567" w:rsidRPr="00644586" w:rsidP="00E9142F" w14:paraId="2A711D38" w14:textId="77777777">
      <w:pPr>
        <w:ind w:left="360"/>
        <w:rPr>
          <w:rFonts w:ascii="Times New Roman" w:hAnsi="Times New Roman"/>
          <w:sz w:val="24"/>
          <w:szCs w:val="24"/>
        </w:rPr>
      </w:pPr>
    </w:p>
    <w:p w:rsidR="00E9142F" w:rsidRPr="00644586" w:rsidP="00E9142F" w14:paraId="515DA63E" w14:textId="77777777">
      <w:pPr>
        <w:numPr>
          <w:ilvl w:val="0"/>
          <w:numId w:val="31"/>
        </w:numPr>
        <w:rPr>
          <w:rFonts w:ascii="Times New Roman" w:hAnsi="Times New Roman"/>
          <w:sz w:val="24"/>
          <w:szCs w:val="24"/>
        </w:rPr>
      </w:pPr>
      <w:r w:rsidRPr="00644586">
        <w:rPr>
          <w:rFonts w:ascii="Times New Roman" w:hAnsi="Times New Roman"/>
          <w:b/>
          <w:bCs/>
          <w:sz w:val="24"/>
          <w:szCs w:val="24"/>
        </w:rPr>
        <w:t>PUBLICATION OF RESULTS OF DATA COLLECTION</w:t>
      </w:r>
    </w:p>
    <w:p w:rsidR="00697D42" w:rsidP="00E9142F" w14:paraId="1CD76304" w14:textId="77777777">
      <w:pPr>
        <w:ind w:left="360"/>
        <w:rPr>
          <w:rFonts w:ascii="Times New Roman" w:hAnsi="Times New Roman"/>
          <w:sz w:val="24"/>
          <w:szCs w:val="24"/>
        </w:rPr>
      </w:pPr>
    </w:p>
    <w:p w:rsidR="00E9142F" w:rsidP="00E9142F" w14:paraId="10BF7776" w14:textId="5B16E3B9">
      <w:pPr>
        <w:ind w:left="360"/>
        <w:rPr>
          <w:rFonts w:ascii="Times New Roman" w:hAnsi="Times New Roman"/>
          <w:sz w:val="24"/>
          <w:szCs w:val="24"/>
        </w:rPr>
      </w:pPr>
      <w:r w:rsidRPr="00644586">
        <w:rPr>
          <w:rFonts w:ascii="Times New Roman" w:hAnsi="Times New Roman"/>
          <w:sz w:val="24"/>
          <w:szCs w:val="24"/>
        </w:rPr>
        <w:t xml:space="preserve">FMCSA uses a portion of the collected data to prepare a public notice of the registration application, which is published in the </w:t>
      </w:r>
      <w:r w:rsidRPr="00644586">
        <w:rPr>
          <w:rFonts w:ascii="Times New Roman" w:hAnsi="Times New Roman"/>
          <w:color w:val="000000"/>
          <w:sz w:val="24"/>
          <w:szCs w:val="24"/>
        </w:rPr>
        <w:t>“</w:t>
      </w:r>
      <w:r w:rsidRPr="00644586">
        <w:rPr>
          <w:rFonts w:ascii="Times New Roman" w:hAnsi="Times New Roman"/>
          <w:sz w:val="24"/>
          <w:szCs w:val="24"/>
        </w:rPr>
        <w:t>FMCSA Register.</w:t>
      </w:r>
      <w:r w:rsidRPr="00644586">
        <w:rPr>
          <w:rFonts w:ascii="Times New Roman" w:hAnsi="Times New Roman"/>
          <w:color w:val="000000"/>
          <w:sz w:val="24"/>
          <w:szCs w:val="24"/>
        </w:rPr>
        <w:t>”</w:t>
      </w:r>
      <w:r w:rsidRPr="00644586">
        <w:rPr>
          <w:rFonts w:ascii="Times New Roman" w:hAnsi="Times New Roman"/>
          <w:sz w:val="24"/>
          <w:szCs w:val="24"/>
        </w:rPr>
        <w:t xml:space="preserve"> Publication of this notice initiates a 10-day period during which an interested party may file a complaint seeking denial of the registration on a limited number of statutory grounds.</w:t>
      </w:r>
      <w:r>
        <w:rPr>
          <w:rFonts w:ascii="Times New Roman" w:hAnsi="Times New Roman"/>
          <w:sz w:val="24"/>
          <w:szCs w:val="24"/>
        </w:rPr>
        <w:t xml:space="preserve"> </w:t>
      </w:r>
      <w:r w:rsidR="00697D42">
        <w:rPr>
          <w:rFonts w:ascii="Times New Roman" w:hAnsi="Times New Roman"/>
          <w:sz w:val="24"/>
          <w:szCs w:val="24"/>
        </w:rPr>
        <w:t>A</w:t>
      </w:r>
      <w:r>
        <w:rPr>
          <w:rFonts w:ascii="Times New Roman" w:hAnsi="Times New Roman"/>
          <w:sz w:val="24"/>
          <w:szCs w:val="24"/>
        </w:rPr>
        <w:t>dditionally, excerpts of the registration information are available through the Agency’s Safety Measurement System (SMS) website, and the SAFER website. M</w:t>
      </w:r>
      <w:r w:rsidRPr="00F56634">
        <w:rPr>
          <w:rFonts w:ascii="Times New Roman" w:hAnsi="Times New Roman"/>
          <w:sz w:val="24"/>
          <w:szCs w:val="24"/>
        </w:rPr>
        <w:t xml:space="preserve">otor </w:t>
      </w:r>
      <w:r>
        <w:rPr>
          <w:rFonts w:ascii="Times New Roman" w:hAnsi="Times New Roman"/>
          <w:sz w:val="24"/>
          <w:szCs w:val="24"/>
        </w:rPr>
        <w:t>carrier safety p</w:t>
      </w:r>
      <w:r w:rsidRPr="00F56634">
        <w:rPr>
          <w:rFonts w:ascii="Times New Roman" w:hAnsi="Times New Roman"/>
          <w:sz w:val="24"/>
          <w:szCs w:val="24"/>
        </w:rPr>
        <w:t>rofiles are available to the public under the Freedom of Information Act (FOIA).</w:t>
      </w:r>
    </w:p>
    <w:p w:rsidR="00E9142F" w:rsidRPr="0056376E" w:rsidP="00E9142F" w14:paraId="1C56A2AA" w14:textId="77777777">
      <w:pPr>
        <w:rPr>
          <w:rFonts w:ascii="Times New Roman" w:hAnsi="Times New Roman"/>
          <w:sz w:val="24"/>
          <w:szCs w:val="24"/>
        </w:rPr>
      </w:pPr>
    </w:p>
    <w:p w:rsidR="00E9142F" w:rsidRPr="00AC44F9" w:rsidP="00E9142F" w14:paraId="3A2F6D35"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AC44F9">
        <w:rPr>
          <w:rFonts w:ascii="Times New Roman" w:hAnsi="Times New Roman"/>
          <w:b/>
          <w:bCs/>
          <w:color w:val="auto"/>
        </w:rPr>
        <w:t>APPROVAL FOR NOT DISPLAYING THE EXPIRATION DATE OF OMB</w:t>
      </w:r>
    </w:p>
    <w:p w:rsidR="00E9142F" w:rsidRPr="00AC44F9" w:rsidP="00E9142F" w14:paraId="487D4CB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b/>
          <w:bCs/>
          <w:color w:val="auto"/>
        </w:rPr>
      </w:pPr>
      <w:r w:rsidRPr="00AC44F9">
        <w:rPr>
          <w:rFonts w:ascii="Times New Roman" w:hAnsi="Times New Roman"/>
          <w:b/>
          <w:bCs/>
          <w:color w:val="auto"/>
        </w:rPr>
        <w:t>APPROVAL</w:t>
      </w:r>
    </w:p>
    <w:p w:rsidR="00697D42" w:rsidP="00E9142F" w14:paraId="49ED54D6" w14:textId="77777777">
      <w:pPr>
        <w:ind w:firstLine="360"/>
        <w:rPr>
          <w:rFonts w:ascii="Times New Roman" w:hAnsi="Times New Roman"/>
          <w:sz w:val="24"/>
          <w:szCs w:val="24"/>
        </w:rPr>
      </w:pPr>
    </w:p>
    <w:p w:rsidR="00E9142F" w:rsidRPr="00644586" w:rsidP="00E9142F" w14:paraId="09F4E6BE" w14:textId="182B2313">
      <w:pPr>
        <w:ind w:firstLine="360"/>
        <w:rPr>
          <w:rFonts w:ascii="Times New Roman" w:hAnsi="Times New Roman"/>
          <w:sz w:val="24"/>
          <w:szCs w:val="24"/>
        </w:rPr>
      </w:pPr>
      <w:r w:rsidRPr="00644586">
        <w:rPr>
          <w:rFonts w:ascii="Times New Roman" w:hAnsi="Times New Roman"/>
          <w:sz w:val="24"/>
          <w:szCs w:val="24"/>
        </w:rPr>
        <w:t>FMCSA is not seeking an exemption from displaying the expiration date.</w:t>
      </w:r>
    </w:p>
    <w:p w:rsidR="00E9142F" w:rsidRPr="00AC44F9" w:rsidP="00E9142F" w14:paraId="1344CDD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9142F" w:rsidRPr="00644586" w:rsidP="00E9142F" w14:paraId="7CF23329" w14:textId="77777777">
      <w:pPr>
        <w:numPr>
          <w:ilvl w:val="0"/>
          <w:numId w:val="31"/>
        </w:numPr>
        <w:rPr>
          <w:rFonts w:ascii="Times New Roman" w:hAnsi="Times New Roman"/>
          <w:bCs/>
          <w:sz w:val="24"/>
          <w:szCs w:val="24"/>
        </w:rPr>
      </w:pPr>
      <w:r w:rsidRPr="00644586">
        <w:rPr>
          <w:rFonts w:ascii="Times New Roman" w:hAnsi="Times New Roman"/>
          <w:b/>
          <w:bCs/>
          <w:sz w:val="24"/>
          <w:szCs w:val="24"/>
        </w:rPr>
        <w:t>EXCEPTIONS TO CERTIFICATION STATEMENT</w:t>
      </w:r>
    </w:p>
    <w:p w:rsidR="00697D42" w:rsidP="00E9142F" w14:paraId="14527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6A4567" w:rsidP="3E2FF4CE" w14:paraId="0ECB43AF" w14:textId="4DCAA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3E2FF4CE">
        <w:rPr>
          <w:rFonts w:ascii="Times New Roman" w:hAnsi="Times New Roman"/>
          <w:sz w:val="24"/>
          <w:szCs w:val="24"/>
        </w:rPr>
        <w:t>None.</w:t>
      </w:r>
    </w:p>
    <w:p w:rsidR="00EC4CB9" w:rsidP="00E9142F" w14:paraId="4474DD40" w14:textId="77777777">
      <w:pPr>
        <w:rPr>
          <w:rFonts w:ascii="Times New Roman" w:hAnsi="Times New Roman"/>
          <w:bCs/>
          <w:sz w:val="24"/>
          <w:szCs w:val="24"/>
        </w:rPr>
      </w:pPr>
    </w:p>
    <w:p w:rsidR="00F7493C" w:rsidRPr="00644586" w:rsidP="00E9142F" w14:paraId="50037F7A" w14:textId="77777777">
      <w:pPr>
        <w:rPr>
          <w:rFonts w:ascii="Times New Roman" w:hAnsi="Times New Roman"/>
          <w:bCs/>
          <w:sz w:val="24"/>
          <w:szCs w:val="24"/>
        </w:rPr>
      </w:pPr>
    </w:p>
    <w:p w:rsidR="00E9142F" w:rsidP="00697D42" w14:paraId="310A9A40" w14:textId="77777777">
      <w:pPr>
        <w:pStyle w:val="NormalWeb"/>
        <w:spacing w:before="0" w:beforeAutospacing="0" w:after="0" w:afterAutospacing="0"/>
        <w:rPr>
          <w:rFonts w:ascii="Times New Roman" w:hAnsi="Times New Roman" w:cs="Times New Roman"/>
          <w:b/>
          <w:bCs/>
        </w:rPr>
      </w:pPr>
      <w:r w:rsidRPr="00644586">
        <w:rPr>
          <w:rFonts w:ascii="Times New Roman" w:hAnsi="Times New Roman" w:cs="Times New Roman"/>
          <w:b/>
          <w:bCs/>
        </w:rPr>
        <w:t>ATTACHMENTS:</w:t>
      </w:r>
    </w:p>
    <w:p w:rsidR="00697D42" w:rsidRPr="00644586" w:rsidP="00697D42" w14:paraId="41B64F1D" w14:textId="77777777">
      <w:pPr>
        <w:pStyle w:val="NormalWeb"/>
        <w:spacing w:before="0" w:beforeAutospacing="0" w:after="0" w:afterAutospacing="0"/>
        <w:rPr>
          <w:rFonts w:ascii="Times New Roman" w:hAnsi="Times New Roman" w:cs="Times New Roman"/>
          <w:b/>
          <w:bCs/>
        </w:rPr>
      </w:pPr>
    </w:p>
    <w:p w:rsidR="00E9142F" w:rsidRPr="00644586" w:rsidP="00697D42" w14:paraId="7ECC4A5C" w14:textId="34DFAD06">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49. U.S.C. § 13902</w:t>
      </w:r>
      <w:r w:rsidR="00884163">
        <w:rPr>
          <w:rFonts w:ascii="Times New Roman" w:hAnsi="Times New Roman" w:cs="Times New Roman"/>
          <w:bCs/>
        </w:rPr>
        <w:t>(a)</w:t>
      </w:r>
      <w:r w:rsidRPr="00644586">
        <w:rPr>
          <w:rFonts w:ascii="Times New Roman" w:hAnsi="Times New Roman" w:cs="Times New Roman"/>
          <w:bCs/>
        </w:rPr>
        <w:t>.</w:t>
      </w:r>
      <w:r w:rsidRPr="00884163">
        <w:rPr>
          <w:rFonts w:ascii="Times New Roman" w:hAnsi="Times New Roman" w:cs="Times New Roman"/>
          <w:bCs/>
          <w:iCs/>
        </w:rPr>
        <w:t xml:space="preserve"> Registration of Motor Carriers </w:t>
      </w:r>
    </w:p>
    <w:p w:rsidR="00E9142F" w:rsidRPr="00644586" w:rsidP="00697D42" w14:paraId="7E4DA5B4"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 xml:space="preserve">49. U.S.C. § 13903. </w:t>
      </w:r>
      <w:r w:rsidRPr="00884163">
        <w:rPr>
          <w:rFonts w:ascii="Times New Roman" w:hAnsi="Times New Roman" w:cs="Times New Roman"/>
          <w:bCs/>
          <w:iCs/>
        </w:rPr>
        <w:t xml:space="preserve">Registration of Freight Forwarders. </w:t>
      </w:r>
    </w:p>
    <w:p w:rsidR="00E9142F" w:rsidRPr="00644586" w:rsidP="00697D42" w14:paraId="03DAD505"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 xml:space="preserve">49. U.S.C. § 13904. </w:t>
      </w:r>
      <w:r w:rsidRPr="00884163">
        <w:rPr>
          <w:rFonts w:ascii="Times New Roman" w:hAnsi="Times New Roman" w:cs="Times New Roman"/>
          <w:bCs/>
          <w:iCs/>
        </w:rPr>
        <w:t xml:space="preserve">Registration of Brokers. </w:t>
      </w:r>
    </w:p>
    <w:p w:rsidR="00884163" w:rsidP="00697D42" w14:paraId="35257972" w14:textId="72F99F48">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rPr>
        <w:t>49 U.S.C. § 13902(c)</w:t>
      </w:r>
      <w:r>
        <w:rPr>
          <w:rFonts w:ascii="Times New Roman" w:hAnsi="Times New Roman"/>
        </w:rPr>
        <w:t>. Restrictions on Motor Carriers Domiciled in or Owned or Controlled by Nationals of a Contiguous Foreign Country.</w:t>
      </w:r>
    </w:p>
    <w:p w:rsidR="00E9142F" w:rsidRPr="00644586" w:rsidP="00697D42" w14:paraId="7D2AC035" w14:textId="28D2AC3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Final Rule titled “Unified Registration System,” (78 FR 52608, dated August 23, 2013)</w:t>
      </w:r>
    </w:p>
    <w:p w:rsidR="00E9142F" w:rsidRPr="00644586" w:rsidP="00697D42" w14:paraId="6C1CB593"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Final Rule titled “Unified Registration System; Suspension of Effectiveness,” (82 FR 5292, dated January 17, 2017)</w:t>
      </w:r>
    </w:p>
    <w:p w:rsidR="00E9142F" w:rsidRPr="00644586" w:rsidP="00697D42" w14:paraId="246EC037"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 xml:space="preserve">49. U.S.C. § 13901. </w:t>
      </w:r>
      <w:r w:rsidRPr="00644586">
        <w:rPr>
          <w:rFonts w:ascii="Times New Roman" w:hAnsi="Times New Roman" w:cs="Times New Roman"/>
          <w:bCs/>
          <w:i/>
        </w:rPr>
        <w:t>Requirements for Registration</w:t>
      </w:r>
      <w:r w:rsidRPr="00644586">
        <w:rPr>
          <w:rFonts w:ascii="Times New Roman" w:hAnsi="Times New Roman" w:cs="Times New Roman"/>
          <w:bCs/>
        </w:rPr>
        <w:t>.</w:t>
      </w:r>
    </w:p>
    <w:p w:rsidR="00E9142F" w:rsidP="00697D42" w14:paraId="47D0C28A"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49 U.S.C. 31136</w:t>
      </w:r>
    </w:p>
    <w:p w:rsidR="00884163" w:rsidRPr="00644586" w:rsidP="00697D42" w14:paraId="57FE397E" w14:textId="5FABBBAF">
      <w:pPr>
        <w:pStyle w:val="NormalWeb"/>
        <w:numPr>
          <w:ilvl w:val="0"/>
          <w:numId w:val="40"/>
        </w:numPr>
        <w:spacing w:before="0" w:beforeAutospacing="0" w:after="0" w:afterAutospacing="0"/>
        <w:ind w:left="720"/>
        <w:rPr>
          <w:rFonts w:ascii="Times New Roman" w:hAnsi="Times New Roman" w:cs="Times New Roman"/>
          <w:bCs/>
        </w:rPr>
      </w:pPr>
      <w:r w:rsidRPr="00884163">
        <w:rPr>
          <w:rFonts w:ascii="Times New Roman" w:hAnsi="Times New Roman" w:cs="Times New Roman"/>
          <w:bCs/>
        </w:rPr>
        <w:t>Government Paperwork Elimination Act (GPEA), Public Law 105-277 (October 21, 1988)</w:t>
      </w:r>
    </w:p>
    <w:p w:rsidR="00AA2019" w:rsidP="00697D42" w14:paraId="5E989AA3" w14:textId="141E7989">
      <w:pPr>
        <w:pStyle w:val="NormalWeb"/>
        <w:numPr>
          <w:ilvl w:val="0"/>
          <w:numId w:val="40"/>
        </w:numPr>
        <w:spacing w:before="0" w:beforeAutospacing="0" w:after="0" w:afterAutospacing="0"/>
        <w:ind w:left="720"/>
        <w:rPr>
          <w:rFonts w:ascii="Times New Roman" w:hAnsi="Times New Roman" w:cs="Times New Roman"/>
          <w:bCs/>
        </w:rPr>
      </w:pPr>
      <w:r w:rsidRPr="00704790">
        <w:rPr>
          <w:rFonts w:ascii="Times New Roman" w:hAnsi="Times New Roman" w:cs="Times New Roman"/>
          <w:bCs/>
        </w:rPr>
        <w:t>60-day Federal Register notice (</w:t>
      </w:r>
      <w:r w:rsidRPr="00F55AD3" w:rsidR="008E4304">
        <w:rPr>
          <w:rFonts w:ascii="Times New Roman" w:hAnsi="Times New Roman"/>
        </w:rPr>
        <w:t>(90 FR 51436)</w:t>
      </w:r>
      <w:r w:rsidRPr="00704790">
        <w:rPr>
          <w:rFonts w:ascii="Times New Roman" w:hAnsi="Times New Roman" w:cs="Times New Roman"/>
          <w:bCs/>
        </w:rPr>
        <w:t xml:space="preserve">), published on </w:t>
      </w:r>
      <w:r w:rsidR="008E4304">
        <w:rPr>
          <w:rFonts w:ascii="Times New Roman" w:hAnsi="Times New Roman" w:cs="Times New Roman"/>
          <w:bCs/>
        </w:rPr>
        <w:t>November</w:t>
      </w:r>
      <w:r w:rsidRPr="00704790">
        <w:rPr>
          <w:rFonts w:ascii="Times New Roman" w:hAnsi="Times New Roman" w:cs="Times New Roman"/>
          <w:bCs/>
        </w:rPr>
        <w:t xml:space="preserve"> 17, 2025</w:t>
      </w:r>
    </w:p>
    <w:p w:rsidR="00E9142F" w:rsidRPr="00644586" w:rsidP="00697D42" w14:paraId="2EC409B1" w14:textId="1575ADC8">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5 U.S.C. 552</w:t>
      </w:r>
    </w:p>
    <w:p w:rsidR="00E9142F" w:rsidRPr="00AC44F9" w:rsidP="00697D42" w14:paraId="31B491CF" w14:textId="77777777">
      <w:pPr>
        <w:pStyle w:val="NormalWeb"/>
        <w:numPr>
          <w:ilvl w:val="0"/>
          <w:numId w:val="40"/>
        </w:numPr>
        <w:spacing w:before="0" w:beforeAutospacing="0" w:after="0" w:afterAutospacing="0"/>
        <w:ind w:left="720"/>
        <w:rPr>
          <w:rFonts w:ascii="Times New Roman" w:hAnsi="Times New Roman" w:cs="Times New Roman"/>
          <w:bCs/>
        </w:rPr>
      </w:pPr>
      <w:r w:rsidRPr="00644586">
        <w:rPr>
          <w:rFonts w:ascii="Times New Roman" w:hAnsi="Times New Roman" w:cs="Times New Roman"/>
          <w:bCs/>
        </w:rPr>
        <w:t>Privacy Impact Assessment: Federal Motor Carrier Safety Administration (FMCSA) Unified Registration System (URS) Final Rule</w:t>
      </w:r>
    </w:p>
    <w:sectPr>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3433415"/>
      <w:docPartObj>
        <w:docPartGallery w:val="Page Numbers (Bottom of Page)"/>
        <w:docPartUnique/>
      </w:docPartObj>
    </w:sdtPr>
    <w:sdtEndPr>
      <w:rPr>
        <w:rFonts w:ascii="Times New Roman" w:hAnsi="Times New Roman"/>
        <w:noProof/>
      </w:rPr>
    </w:sdtEndPr>
    <w:sdtContent>
      <w:p w:rsidR="00D9369E" w:rsidRPr="00A77FC8" w14:paraId="503DBAAC" w14:textId="2CBD8312">
        <w:pPr>
          <w:pStyle w:val="Footer"/>
          <w:jc w:val="center"/>
          <w:rPr>
            <w:rFonts w:ascii="Times New Roman" w:hAnsi="Times New Roman"/>
          </w:rPr>
        </w:pPr>
        <w:r w:rsidRPr="00A77FC8">
          <w:rPr>
            <w:rFonts w:ascii="Times New Roman" w:hAnsi="Times New Roman"/>
          </w:rPr>
          <w:fldChar w:fldCharType="begin"/>
        </w:r>
        <w:r w:rsidRPr="00A77FC8">
          <w:rPr>
            <w:rFonts w:ascii="Times New Roman" w:hAnsi="Times New Roman"/>
          </w:rPr>
          <w:instrText xml:space="preserve"> PAGE   \* MERGEFORMAT </w:instrText>
        </w:r>
        <w:r w:rsidRPr="00A77FC8">
          <w:rPr>
            <w:rFonts w:ascii="Times New Roman" w:hAnsi="Times New Roman"/>
          </w:rPr>
          <w:fldChar w:fldCharType="separate"/>
        </w:r>
        <w:r w:rsidRPr="00A77FC8" w:rsidR="00A43E34">
          <w:rPr>
            <w:rFonts w:ascii="Times New Roman" w:hAnsi="Times New Roman"/>
            <w:noProof/>
          </w:rPr>
          <w:t>1</w:t>
        </w:r>
        <w:r w:rsidRPr="00A77FC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6C33" w:rsidP="00E9142F" w14:paraId="3E8BB5D9" w14:textId="77777777">
      <w:r>
        <w:separator/>
      </w:r>
    </w:p>
  </w:footnote>
  <w:footnote w:type="continuationSeparator" w:id="1">
    <w:p w:rsidR="00926C33" w:rsidP="00E9142F" w14:paraId="02E4CFC8" w14:textId="77777777">
      <w:r>
        <w:continuationSeparator/>
      </w:r>
    </w:p>
  </w:footnote>
  <w:footnote w:id="2">
    <w:p w:rsidR="00D9369E" w:rsidRPr="00EB4EC8" w:rsidP="00E9142F" w14:paraId="71E378C6" w14:textId="77777777">
      <w:pPr>
        <w:pStyle w:val="FootnoteText"/>
        <w:spacing w:after="120"/>
        <w:rPr>
          <w:rFonts w:ascii="Times New Roman" w:hAnsi="Times New Roman"/>
        </w:rPr>
      </w:pPr>
      <w:r w:rsidRPr="00EB4EC8">
        <w:rPr>
          <w:rStyle w:val="FootnoteReference"/>
          <w:rFonts w:ascii="Times New Roman" w:hAnsi="Times New Roman"/>
        </w:rPr>
        <w:footnoteRef/>
      </w:r>
      <w:r w:rsidRPr="00EB4EC8">
        <w:rPr>
          <w:rFonts w:ascii="Times New Roman" w:hAnsi="Times New Roman"/>
        </w:rPr>
        <w:t xml:space="preserve"> Existing registrants are entities that already have a USDOT number and/or operating authority.</w:t>
      </w:r>
    </w:p>
  </w:footnote>
  <w:footnote w:id="3">
    <w:p w:rsidR="00D9369E" w:rsidRPr="0056376E" w:rsidP="00E9142F" w14:paraId="3E9D2A6F" w14:textId="4A80B73D">
      <w:pPr>
        <w:pStyle w:val="FootnoteText"/>
        <w:ind w:left="180" w:hanging="180"/>
        <w:rPr>
          <w:rFonts w:ascii="Times New Roman" w:hAnsi="Times New Roman"/>
          <w:szCs w:val="18"/>
        </w:rPr>
      </w:pPr>
      <w:r w:rsidRPr="0056376E">
        <w:rPr>
          <w:rStyle w:val="FootnoteReference"/>
          <w:rFonts w:ascii="Times New Roman" w:hAnsi="Times New Roman"/>
          <w:szCs w:val="18"/>
        </w:rPr>
        <w:footnoteRef/>
      </w:r>
      <w:r w:rsidRPr="0056376E">
        <w:rPr>
          <w:rFonts w:ascii="Times New Roman" w:hAnsi="Times New Roman"/>
          <w:szCs w:val="18"/>
          <w:vertAlign w:val="superscript"/>
        </w:rPr>
        <w:t xml:space="preserve"> </w:t>
      </w:r>
      <w:r w:rsidRPr="0056376E">
        <w:rPr>
          <w:rFonts w:ascii="Times New Roman" w:hAnsi="Times New Roman"/>
          <w:szCs w:val="18"/>
          <w:vertAlign w:val="superscript"/>
        </w:rPr>
        <w:tab/>
      </w:r>
      <w:r w:rsidRPr="0056376E">
        <w:rPr>
          <w:rFonts w:ascii="Times New Roman" w:hAnsi="Times New Roman"/>
          <w:szCs w:val="18"/>
        </w:rPr>
        <w:t>Bureau of Labor Statistics. “May 20</w:t>
      </w:r>
      <w:r w:rsidR="002577CE">
        <w:rPr>
          <w:rFonts w:ascii="Times New Roman" w:hAnsi="Times New Roman"/>
          <w:szCs w:val="18"/>
        </w:rPr>
        <w:t>2</w:t>
      </w:r>
      <w:r w:rsidR="009604BF">
        <w:rPr>
          <w:rFonts w:ascii="Times New Roman" w:hAnsi="Times New Roman"/>
          <w:szCs w:val="18"/>
        </w:rPr>
        <w:t>4</w:t>
      </w:r>
      <w:r w:rsidRPr="0056376E">
        <w:rPr>
          <w:rFonts w:ascii="Times New Roman" w:hAnsi="Times New Roman"/>
          <w:szCs w:val="18"/>
        </w:rPr>
        <w:t xml:space="preserve"> </w:t>
      </w:r>
      <w:r w:rsidRPr="0007640C" w:rsidR="0007640C">
        <w:rPr>
          <w:rFonts w:ascii="Times New Roman" w:hAnsi="Times New Roman"/>
          <w:szCs w:val="18"/>
        </w:rPr>
        <w:t>Occupational Employment and Wages</w:t>
      </w:r>
      <w:r w:rsidRPr="0056376E">
        <w:rPr>
          <w:rFonts w:ascii="Times New Roman" w:hAnsi="Times New Roman"/>
          <w:szCs w:val="18"/>
        </w:rPr>
        <w:t xml:space="preserve">, NAICS </w:t>
      </w:r>
      <w:r w:rsidR="00E06868">
        <w:rPr>
          <w:rFonts w:ascii="Times New Roman" w:hAnsi="Times New Roman"/>
          <w:szCs w:val="18"/>
        </w:rPr>
        <w:t>13-1041 Compliance Officers</w:t>
      </w:r>
      <w:r w:rsidRPr="0056376E">
        <w:rPr>
          <w:rFonts w:ascii="Times New Roman" w:hAnsi="Times New Roman"/>
          <w:szCs w:val="18"/>
        </w:rPr>
        <w:t xml:space="preserve"> - ” Available at </w:t>
      </w:r>
      <w:r w:rsidRPr="002B5754" w:rsidR="002B5754">
        <w:rPr>
          <w:rFonts w:ascii="Times New Roman" w:hAnsi="Times New Roman"/>
          <w:szCs w:val="18"/>
        </w:rPr>
        <w:t>https://data.bls.gov/oes/" \l "/industry/000000</w:t>
      </w:r>
      <w:r w:rsidRPr="005A7B6A">
        <w:rPr>
          <w:rFonts w:ascii="Times New Roman" w:hAnsi="Times New Roman"/>
          <w:szCs w:val="18"/>
        </w:rPr>
        <w:t>.</w:t>
      </w:r>
      <w:r w:rsidRPr="0056376E">
        <w:rPr>
          <w:rFonts w:ascii="Times New Roman" w:hAnsi="Times New Roman"/>
          <w:szCs w:val="18"/>
        </w:rPr>
        <w:t xml:space="preserve"> Accessed </w:t>
      </w:r>
      <w:r w:rsidR="002B5754">
        <w:rPr>
          <w:rFonts w:ascii="Times New Roman" w:hAnsi="Times New Roman"/>
          <w:szCs w:val="18"/>
        </w:rPr>
        <w:t xml:space="preserve">September </w:t>
      </w:r>
      <w:r w:rsidR="00E06868">
        <w:rPr>
          <w:rFonts w:ascii="Times New Roman" w:hAnsi="Times New Roman"/>
          <w:szCs w:val="18"/>
        </w:rPr>
        <w:t>14, 2025</w:t>
      </w:r>
      <w:r w:rsidRPr="0056376E">
        <w:rPr>
          <w:rFonts w:ascii="Times New Roman" w:hAnsi="Times New Roman"/>
          <w:szCs w:val="18"/>
        </w:rPr>
        <w:t>.</w:t>
      </w:r>
    </w:p>
  </w:footnote>
  <w:footnote w:id="4">
    <w:p w:rsidR="00D9369E" w:rsidRPr="0056376E" w:rsidP="00E9142F" w14:paraId="2E71AA62" w14:textId="2CBFCB6F">
      <w:pPr>
        <w:pStyle w:val="FootnoteText"/>
        <w:ind w:left="180" w:hanging="180"/>
        <w:rPr>
          <w:rFonts w:ascii="Times New Roman" w:hAnsi="Times New Roman"/>
          <w:color w:val="000000"/>
          <w:szCs w:val="18"/>
        </w:rPr>
      </w:pPr>
      <w:r w:rsidRPr="0056376E">
        <w:rPr>
          <w:rStyle w:val="FootnoteReference"/>
          <w:rFonts w:ascii="Times New Roman" w:hAnsi="Times New Roman"/>
          <w:szCs w:val="18"/>
        </w:rPr>
        <w:footnoteRef/>
      </w:r>
      <w:r w:rsidRPr="0056376E">
        <w:rPr>
          <w:rFonts w:ascii="Times New Roman" w:hAnsi="Times New Roman"/>
          <w:szCs w:val="18"/>
        </w:rPr>
        <w:t xml:space="preserve"> </w:t>
      </w:r>
      <w:r w:rsidRPr="0056376E">
        <w:rPr>
          <w:rFonts w:ascii="Times New Roman" w:hAnsi="Times New Roman"/>
          <w:szCs w:val="18"/>
        </w:rPr>
        <w:tab/>
      </w:r>
      <w:r w:rsidRPr="0056376E">
        <w:rPr>
          <w:rFonts w:ascii="Times New Roman" w:hAnsi="Times New Roman"/>
          <w:szCs w:val="18"/>
        </w:rPr>
        <w:t>The load factor for carrier compliance offers is calculated by multiplying the total cost of compensation for private industry workers of the transportation and warehousing series ($</w:t>
      </w:r>
      <w:r w:rsidR="007B7A09">
        <w:rPr>
          <w:rFonts w:ascii="Times New Roman" w:hAnsi="Times New Roman"/>
          <w:szCs w:val="18"/>
        </w:rPr>
        <w:t>35.22</w:t>
      </w:r>
      <w:r w:rsidRPr="0056376E">
        <w:rPr>
          <w:rFonts w:ascii="Times New Roman" w:hAnsi="Times New Roman"/>
          <w:szCs w:val="18"/>
        </w:rPr>
        <w:t>) by the average cost of hourly wages and salaries ($</w:t>
      </w:r>
      <w:r w:rsidR="007B7A09">
        <w:rPr>
          <w:rFonts w:ascii="Times New Roman" w:hAnsi="Times New Roman"/>
          <w:szCs w:val="18"/>
        </w:rPr>
        <w:t>24.75</w:t>
      </w:r>
      <w:r w:rsidRPr="0056376E">
        <w:rPr>
          <w:rFonts w:ascii="Times New Roman" w:hAnsi="Times New Roman"/>
          <w:szCs w:val="18"/>
        </w:rPr>
        <w:t>), as reported by the Bureau of Labor Statistics ($</w:t>
      </w:r>
      <w:r w:rsidR="007B7A09">
        <w:rPr>
          <w:rFonts w:ascii="Times New Roman" w:hAnsi="Times New Roman"/>
          <w:szCs w:val="18"/>
        </w:rPr>
        <w:t>35.22/</w:t>
      </w:r>
      <w:r w:rsidR="00E9624E">
        <w:rPr>
          <w:rFonts w:ascii="Times New Roman" w:hAnsi="Times New Roman"/>
          <w:szCs w:val="18"/>
        </w:rPr>
        <w:t>24.75</w:t>
      </w:r>
      <w:r w:rsidR="00C431F1">
        <w:rPr>
          <w:rFonts w:ascii="Times New Roman" w:hAnsi="Times New Roman"/>
          <w:szCs w:val="18"/>
        </w:rPr>
        <w:t>=</w:t>
      </w:r>
      <w:r w:rsidR="00E9624E">
        <w:rPr>
          <w:rFonts w:ascii="Times New Roman" w:hAnsi="Times New Roman"/>
          <w:szCs w:val="18"/>
        </w:rPr>
        <w:t>1.42</w:t>
      </w:r>
      <w:r w:rsidRPr="0056376E">
        <w:rPr>
          <w:rFonts w:ascii="Times New Roman" w:hAnsi="Times New Roman"/>
          <w:szCs w:val="18"/>
        </w:rPr>
        <w:t>).</w:t>
      </w:r>
    </w:p>
  </w:footnote>
  <w:footnote w:id="5">
    <w:p w:rsidR="00D9369E" w:rsidRPr="00C26FA5" w:rsidP="00E9142F" w14:paraId="59A24512" w14:textId="5D0F1735">
      <w:pPr>
        <w:pStyle w:val="FootnoteText"/>
        <w:ind w:left="180" w:hanging="180"/>
        <w:rPr>
          <w:sz w:val="18"/>
          <w:szCs w:val="18"/>
        </w:rPr>
      </w:pPr>
      <w:r w:rsidRPr="0056376E">
        <w:rPr>
          <w:rStyle w:val="FootnoteReference"/>
          <w:rFonts w:ascii="Times New Roman" w:hAnsi="Times New Roman"/>
          <w:szCs w:val="18"/>
        </w:rPr>
        <w:footnoteRef/>
      </w:r>
      <w:r w:rsidRPr="0056376E">
        <w:rPr>
          <w:rFonts w:ascii="Times New Roman" w:hAnsi="Times New Roman"/>
          <w:szCs w:val="18"/>
        </w:rPr>
        <w:t xml:space="preserve"> </w:t>
      </w:r>
      <w:r w:rsidRPr="0056376E">
        <w:rPr>
          <w:rFonts w:ascii="Times New Roman" w:hAnsi="Times New Roman"/>
          <w:szCs w:val="18"/>
        </w:rPr>
        <w:tab/>
      </w:r>
      <w:r w:rsidRPr="0056376E">
        <w:rPr>
          <w:rFonts w:ascii="Times New Roman" w:hAnsi="Times New Roman"/>
          <w:szCs w:val="18"/>
        </w:rPr>
        <w:t>U.S. Department of Labor, Bureau of Labor Statistics. (</w:t>
      </w:r>
      <w:r w:rsidR="00A850A5">
        <w:rPr>
          <w:rFonts w:ascii="Times New Roman" w:hAnsi="Times New Roman"/>
          <w:szCs w:val="18"/>
        </w:rPr>
        <w:t>2025</w:t>
      </w:r>
      <w:r w:rsidRPr="0056376E">
        <w:rPr>
          <w:rFonts w:ascii="Times New Roman" w:hAnsi="Times New Roman"/>
          <w:szCs w:val="18"/>
        </w:rPr>
        <w:t>). “</w:t>
      </w:r>
      <w:r w:rsidRPr="004D5420" w:rsidR="004D5420">
        <w:rPr>
          <w:rFonts w:ascii="Times New Roman" w:hAnsi="Times New Roman"/>
          <w:szCs w:val="18"/>
        </w:rPr>
        <w:t>Table 4. Employer Costs for Employee Compensation for private industry workers by occupational and industry group</w:t>
      </w:r>
      <w:r w:rsidRPr="0056376E">
        <w:rPr>
          <w:rFonts w:ascii="Times New Roman" w:hAnsi="Times New Roman"/>
          <w:szCs w:val="18"/>
        </w:rPr>
        <w:t xml:space="preserve">, </w:t>
      </w:r>
      <w:r w:rsidR="0095104B">
        <w:rPr>
          <w:rFonts w:ascii="Times New Roman" w:hAnsi="Times New Roman"/>
          <w:szCs w:val="18"/>
        </w:rPr>
        <w:t>March</w:t>
      </w:r>
      <w:r w:rsidRPr="0056376E" w:rsidR="0095104B">
        <w:rPr>
          <w:rFonts w:ascii="Times New Roman" w:hAnsi="Times New Roman"/>
          <w:szCs w:val="18"/>
        </w:rPr>
        <w:t xml:space="preserve"> </w:t>
      </w:r>
      <w:r w:rsidRPr="0056376E">
        <w:rPr>
          <w:rFonts w:ascii="Times New Roman" w:hAnsi="Times New Roman"/>
          <w:szCs w:val="18"/>
        </w:rPr>
        <w:t>20</w:t>
      </w:r>
      <w:r w:rsidR="004D5420">
        <w:rPr>
          <w:rFonts w:ascii="Times New Roman" w:hAnsi="Times New Roman"/>
          <w:szCs w:val="18"/>
        </w:rPr>
        <w:t>2</w:t>
      </w:r>
      <w:r w:rsidR="0095104B">
        <w:rPr>
          <w:rFonts w:ascii="Times New Roman" w:hAnsi="Times New Roman"/>
          <w:szCs w:val="18"/>
        </w:rPr>
        <w:t>5</w:t>
      </w:r>
      <w:r w:rsidRPr="0056376E">
        <w:rPr>
          <w:rFonts w:ascii="Times New Roman" w:hAnsi="Times New Roman"/>
          <w:szCs w:val="18"/>
        </w:rPr>
        <w:t>,” in News Release: Employer Costs for Employee Compensation—</w:t>
      </w:r>
      <w:r w:rsidR="00A850A5">
        <w:rPr>
          <w:rFonts w:ascii="Times New Roman" w:hAnsi="Times New Roman"/>
          <w:szCs w:val="18"/>
        </w:rPr>
        <w:t xml:space="preserve">March </w:t>
      </w:r>
      <w:r w:rsidR="00C431F1">
        <w:rPr>
          <w:rFonts w:ascii="Times New Roman" w:hAnsi="Times New Roman"/>
          <w:szCs w:val="18"/>
        </w:rPr>
        <w:t>202</w:t>
      </w:r>
      <w:r w:rsidR="00A850A5">
        <w:rPr>
          <w:rFonts w:ascii="Times New Roman" w:hAnsi="Times New Roman"/>
          <w:szCs w:val="18"/>
        </w:rPr>
        <w:t>5</w:t>
      </w:r>
      <w:r w:rsidRPr="0056376E">
        <w:rPr>
          <w:rFonts w:ascii="Times New Roman" w:hAnsi="Times New Roman"/>
          <w:szCs w:val="18"/>
        </w:rPr>
        <w:t xml:space="preserve">. Retrieved </w:t>
      </w:r>
      <w:r w:rsidR="00A850A5">
        <w:rPr>
          <w:rFonts w:ascii="Times New Roman" w:hAnsi="Times New Roman"/>
          <w:szCs w:val="18"/>
        </w:rPr>
        <w:t>July</w:t>
      </w:r>
      <w:r w:rsidR="00E06868">
        <w:rPr>
          <w:rFonts w:ascii="Times New Roman" w:hAnsi="Times New Roman"/>
          <w:szCs w:val="18"/>
        </w:rPr>
        <w:t xml:space="preserve"> 14,</w:t>
      </w:r>
      <w:r w:rsidR="00A850A5">
        <w:rPr>
          <w:rFonts w:ascii="Times New Roman" w:hAnsi="Times New Roman"/>
          <w:szCs w:val="18"/>
        </w:rPr>
        <w:t xml:space="preserve"> 202</w:t>
      </w:r>
      <w:r w:rsidR="00E06868">
        <w:rPr>
          <w:rFonts w:ascii="Times New Roman" w:hAnsi="Times New Roman"/>
          <w:szCs w:val="18"/>
        </w:rPr>
        <w:t>5</w:t>
      </w:r>
      <w:r w:rsidRPr="0056376E">
        <w:rPr>
          <w:rFonts w:ascii="Times New Roman" w:hAnsi="Times New Roman"/>
          <w:szCs w:val="18"/>
        </w:rPr>
        <w:t xml:space="preserve">, from: </w:t>
      </w:r>
      <w:hyperlink r:id="rId1" w:history="1">
        <w:r w:rsidRPr="005A7B6A" w:rsidR="0095104B">
          <w:rPr>
            <w:rFonts w:ascii="Times New Roman" w:hAnsi="Times New Roman"/>
            <w:color w:val="0000FF"/>
            <w:u w:val="single"/>
          </w:rPr>
          <w:t>Employer Costs for Employee Compensation - March 2025</w:t>
        </w:r>
      </w:hyperlink>
      <w:r w:rsidRPr="005A7B6A">
        <w:rPr>
          <w:rFonts w:ascii="Times New Roman" w:hAnsi="Times New Roman"/>
          <w:szCs w:val="18"/>
        </w:rPr>
        <w:t>.</w:t>
      </w:r>
    </w:p>
  </w:footnote>
  <w:footnote w:id="6">
    <w:p w:rsidR="00D9369E" w:rsidRPr="00E80756" w:rsidP="00E9142F" w14:paraId="4140AAB7" w14:textId="70C5B68B">
      <w:pPr>
        <w:pStyle w:val="FootnoteText"/>
        <w:rPr>
          <w:rFonts w:ascii="Times New Roman" w:hAnsi="Times New Roman"/>
        </w:rPr>
      </w:pPr>
      <w:r w:rsidRPr="00E80756">
        <w:rPr>
          <w:rStyle w:val="FootnoteReference"/>
          <w:rFonts w:ascii="Times New Roman" w:hAnsi="Times New Roman"/>
        </w:rPr>
        <w:footnoteRef/>
      </w:r>
      <w:r w:rsidRPr="00E80756">
        <w:rPr>
          <w:rFonts w:ascii="Times New Roman" w:hAnsi="Times New Roman"/>
        </w:rPr>
        <w:t xml:space="preserve"> Office of Personnel Management. Salary Table 20</w:t>
      </w:r>
      <w:r w:rsidR="00035EF2">
        <w:rPr>
          <w:rFonts w:ascii="Times New Roman" w:hAnsi="Times New Roman"/>
        </w:rPr>
        <w:t>2</w:t>
      </w:r>
      <w:r w:rsidR="00BD5FFF">
        <w:rPr>
          <w:rFonts w:ascii="Times New Roman" w:hAnsi="Times New Roman"/>
        </w:rPr>
        <w:t>5</w:t>
      </w:r>
      <w:r w:rsidRPr="00E80756">
        <w:rPr>
          <w:rFonts w:ascii="Times New Roman" w:hAnsi="Times New Roman"/>
        </w:rPr>
        <w:t xml:space="preserve">-Dcb for the Locality Pay Area of Washington, Baltimore, Arlington, DC-MD-VA-WV-PA. </w:t>
      </w:r>
      <w:r>
        <w:rPr>
          <w:rFonts w:ascii="Times New Roman" w:hAnsi="Times New Roman"/>
        </w:rPr>
        <w:t xml:space="preserve"> </w:t>
      </w:r>
      <w:r w:rsidRPr="00E80756">
        <w:rPr>
          <w:rFonts w:ascii="Times New Roman" w:hAnsi="Times New Roman"/>
        </w:rPr>
        <w:t xml:space="preserve">Available at </w:t>
      </w:r>
      <w:r w:rsidRPr="00035EF2" w:rsidR="00035EF2">
        <w:rPr>
          <w:rFonts w:ascii="Times New Roman" w:hAnsi="Times New Roman"/>
        </w:rPr>
        <w:t>https://www.opm.gov/policy-data-oversight/pay-leave/salaries-wages/salary-tables/pdf/202</w:t>
      </w:r>
      <w:r w:rsidR="00BD5FFF">
        <w:rPr>
          <w:rFonts w:ascii="Times New Roman" w:hAnsi="Times New Roman"/>
        </w:rPr>
        <w:t>5</w:t>
      </w:r>
      <w:r w:rsidRPr="00035EF2" w:rsidR="00035EF2">
        <w:rPr>
          <w:rFonts w:ascii="Times New Roman" w:hAnsi="Times New Roman"/>
        </w:rPr>
        <w:t>/DCB_h.pdf</w:t>
      </w:r>
      <w:r>
        <w:rPr>
          <w:rFonts w:ascii="Times New Roman" w:hAnsi="Times New Roman"/>
        </w:rPr>
        <w:t xml:space="preserve">. Accessed </w:t>
      </w:r>
      <w:r w:rsidR="00BD5FFF">
        <w:rPr>
          <w:rFonts w:ascii="Times New Roman" w:hAnsi="Times New Roman"/>
        </w:rPr>
        <w:t>July 18, 2025</w:t>
      </w:r>
      <w:r>
        <w:rPr>
          <w:rFonts w:ascii="Times New Roman" w:hAnsi="Times New Roman"/>
        </w:rPr>
        <w:t>.</w:t>
      </w:r>
    </w:p>
  </w:footnote>
  <w:footnote w:id="7">
    <w:p w:rsidR="00D9369E" w:rsidRPr="006172BD" w:rsidP="00E9142F" w14:paraId="68E20CE3" w14:textId="77777777">
      <w:pPr>
        <w:pStyle w:val="FootnoteText"/>
      </w:pPr>
      <w:r w:rsidRPr="00E80756">
        <w:rPr>
          <w:rStyle w:val="FootnoteReference"/>
          <w:rFonts w:ascii="Times New Roman" w:hAnsi="Times New Roman"/>
        </w:rPr>
        <w:footnoteRef/>
      </w:r>
      <w:r w:rsidRPr="00E80756">
        <w:rPr>
          <w:rFonts w:ascii="Times New Roman" w:hAnsi="Times New Roman"/>
        </w:rPr>
        <w:t xml:space="preserve"> Consistent with other FMCSA ICRs.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815FC9"/>
    <w:multiLevelType w:val="hybridMultilevel"/>
    <w:tmpl w:val="D068DB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D6518A"/>
    <w:multiLevelType w:val="hybridMultilevel"/>
    <w:tmpl w:val="AC1EB13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4CD7EC8"/>
    <w:multiLevelType w:val="hybridMultilevel"/>
    <w:tmpl w:val="094AC0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558648F"/>
    <w:multiLevelType w:val="hybridMultilevel"/>
    <w:tmpl w:val="2DB29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31E3F9B"/>
    <w:multiLevelType w:val="hybridMultilevel"/>
    <w:tmpl w:val="D0C252A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DAB08C5"/>
    <w:multiLevelType w:val="hybridMultilevel"/>
    <w:tmpl w:val="4F0E2852"/>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AEC57F8"/>
    <w:multiLevelType w:val="hybridMultilevel"/>
    <w:tmpl w:val="2202E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4C94E06"/>
    <w:multiLevelType w:val="hybridMultilevel"/>
    <w:tmpl w:val="FFE0D090"/>
    <w:lvl w:ilvl="0">
      <w:start w:val="1"/>
      <w:numFmt w:val="bullet"/>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7C114D7"/>
    <w:multiLevelType w:val="hybridMultilevel"/>
    <w:tmpl w:val="599663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DC5006"/>
    <w:multiLevelType w:val="hybridMultilevel"/>
    <w:tmpl w:val="59A81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3074773">
    <w:abstractNumId w:val="3"/>
  </w:num>
  <w:num w:numId="2" w16cid:durableId="318656632">
    <w:abstractNumId w:val="8"/>
  </w:num>
  <w:num w:numId="3" w16cid:durableId="665784185">
    <w:abstractNumId w:val="10"/>
  </w:num>
  <w:num w:numId="4" w16cid:durableId="1255746312">
    <w:abstractNumId w:val="35"/>
  </w:num>
  <w:num w:numId="5" w16cid:durableId="1576816976">
    <w:abstractNumId w:val="31"/>
  </w:num>
  <w:num w:numId="6" w16cid:durableId="564100694">
    <w:abstractNumId w:val="12"/>
  </w:num>
  <w:num w:numId="7" w16cid:durableId="1289238866">
    <w:abstractNumId w:val="29"/>
  </w:num>
  <w:num w:numId="8" w16cid:durableId="481704913">
    <w:abstractNumId w:val="19"/>
  </w:num>
  <w:num w:numId="9" w16cid:durableId="801579895">
    <w:abstractNumId w:val="7"/>
  </w:num>
  <w:num w:numId="10" w16cid:durableId="1350519831">
    <w:abstractNumId w:val="9"/>
  </w:num>
  <w:num w:numId="11" w16cid:durableId="477116038">
    <w:abstractNumId w:val="22"/>
  </w:num>
  <w:num w:numId="12" w16cid:durableId="1380276855">
    <w:abstractNumId w:val="11"/>
  </w:num>
  <w:num w:numId="13" w16cid:durableId="71050879">
    <w:abstractNumId w:val="40"/>
  </w:num>
  <w:num w:numId="14" w16cid:durableId="750196723">
    <w:abstractNumId w:val="38"/>
  </w:num>
  <w:num w:numId="15" w16cid:durableId="2036925157">
    <w:abstractNumId w:val="26"/>
  </w:num>
  <w:num w:numId="16" w16cid:durableId="859468981">
    <w:abstractNumId w:val="20"/>
  </w:num>
  <w:num w:numId="17" w16cid:durableId="1451195581">
    <w:abstractNumId w:val="21"/>
  </w:num>
  <w:num w:numId="18" w16cid:durableId="531654604">
    <w:abstractNumId w:val="41"/>
  </w:num>
  <w:num w:numId="19" w16cid:durableId="32578439">
    <w:abstractNumId w:val="16"/>
  </w:num>
  <w:num w:numId="20" w16cid:durableId="1175918901">
    <w:abstractNumId w:val="0"/>
  </w:num>
  <w:num w:numId="21" w16cid:durableId="636647058">
    <w:abstractNumId w:val="5"/>
  </w:num>
  <w:num w:numId="22" w16cid:durableId="636957577">
    <w:abstractNumId w:val="27"/>
  </w:num>
  <w:num w:numId="23" w16cid:durableId="1950500540">
    <w:abstractNumId w:val="28"/>
  </w:num>
  <w:num w:numId="24" w16cid:durableId="1290162232">
    <w:abstractNumId w:val="36"/>
  </w:num>
  <w:num w:numId="25" w16cid:durableId="1206722870">
    <w:abstractNumId w:val="1"/>
  </w:num>
  <w:num w:numId="26" w16cid:durableId="479470082">
    <w:abstractNumId w:val="24"/>
  </w:num>
  <w:num w:numId="27" w16cid:durableId="1983268797">
    <w:abstractNumId w:val="6"/>
  </w:num>
  <w:num w:numId="28" w16cid:durableId="48460503">
    <w:abstractNumId w:val="32"/>
  </w:num>
  <w:num w:numId="29" w16cid:durableId="1641492479">
    <w:abstractNumId w:val="37"/>
  </w:num>
  <w:num w:numId="30" w16cid:durableId="415909142">
    <w:abstractNumId w:val="15"/>
  </w:num>
  <w:num w:numId="31" w16cid:durableId="1510674090">
    <w:abstractNumId w:val="42"/>
  </w:num>
  <w:num w:numId="32" w16cid:durableId="519441458">
    <w:abstractNumId w:val="25"/>
  </w:num>
  <w:num w:numId="33" w16cid:durableId="720372335">
    <w:abstractNumId w:val="18"/>
  </w:num>
  <w:num w:numId="34" w16cid:durableId="1986465682">
    <w:abstractNumId w:val="33"/>
  </w:num>
  <w:num w:numId="35" w16cid:durableId="2050492809">
    <w:abstractNumId w:val="39"/>
  </w:num>
  <w:num w:numId="36" w16cid:durableId="1115752385">
    <w:abstractNumId w:val="34"/>
  </w:num>
  <w:num w:numId="37" w16cid:durableId="737047532">
    <w:abstractNumId w:val="2"/>
  </w:num>
  <w:num w:numId="38" w16cid:durableId="580258827">
    <w:abstractNumId w:val="30"/>
  </w:num>
  <w:num w:numId="39" w16cid:durableId="1416053949">
    <w:abstractNumId w:val="13"/>
  </w:num>
  <w:num w:numId="40" w16cid:durableId="1750619878">
    <w:abstractNumId w:val="23"/>
  </w:num>
  <w:num w:numId="41" w16cid:durableId="2112191658">
    <w:abstractNumId w:val="17"/>
  </w:num>
  <w:num w:numId="42" w16cid:durableId="751127134">
    <w:abstractNumId w:val="14"/>
  </w:num>
  <w:num w:numId="43" w16cid:durableId="1584876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2F"/>
    <w:rsid w:val="00007B97"/>
    <w:rsid w:val="00034CD6"/>
    <w:rsid w:val="00035EF2"/>
    <w:rsid w:val="0003715A"/>
    <w:rsid w:val="000426DA"/>
    <w:rsid w:val="0004271C"/>
    <w:rsid w:val="00046D3A"/>
    <w:rsid w:val="00050727"/>
    <w:rsid w:val="000609D5"/>
    <w:rsid w:val="0007640C"/>
    <w:rsid w:val="00087781"/>
    <w:rsid w:val="00093E87"/>
    <w:rsid w:val="000959D8"/>
    <w:rsid w:val="000A0C62"/>
    <w:rsid w:val="000B0FA7"/>
    <w:rsid w:val="000D0099"/>
    <w:rsid w:val="000D76D5"/>
    <w:rsid w:val="000E0089"/>
    <w:rsid w:val="000E3F01"/>
    <w:rsid w:val="000F2C44"/>
    <w:rsid w:val="00100D7C"/>
    <w:rsid w:val="00101873"/>
    <w:rsid w:val="0011030C"/>
    <w:rsid w:val="00111DE3"/>
    <w:rsid w:val="00126C82"/>
    <w:rsid w:val="00145CB3"/>
    <w:rsid w:val="001516D0"/>
    <w:rsid w:val="00162889"/>
    <w:rsid w:val="001675BF"/>
    <w:rsid w:val="00167A33"/>
    <w:rsid w:val="001865D0"/>
    <w:rsid w:val="001A77EC"/>
    <w:rsid w:val="001C1B8D"/>
    <w:rsid w:val="001C2229"/>
    <w:rsid w:val="001C375F"/>
    <w:rsid w:val="001E132A"/>
    <w:rsid w:val="001E50DD"/>
    <w:rsid w:val="001E5958"/>
    <w:rsid w:val="001F2734"/>
    <w:rsid w:val="00206815"/>
    <w:rsid w:val="00212B46"/>
    <w:rsid w:val="00213866"/>
    <w:rsid w:val="002168D8"/>
    <w:rsid w:val="00223EA1"/>
    <w:rsid w:val="00232FC7"/>
    <w:rsid w:val="00254C05"/>
    <w:rsid w:val="002577CE"/>
    <w:rsid w:val="00277739"/>
    <w:rsid w:val="00282528"/>
    <w:rsid w:val="0028748B"/>
    <w:rsid w:val="002A6B67"/>
    <w:rsid w:val="002B5754"/>
    <w:rsid w:val="002B58CE"/>
    <w:rsid w:val="002C6AB2"/>
    <w:rsid w:val="002D204E"/>
    <w:rsid w:val="002E5491"/>
    <w:rsid w:val="002E71D4"/>
    <w:rsid w:val="002F0A90"/>
    <w:rsid w:val="002F7056"/>
    <w:rsid w:val="00303DE7"/>
    <w:rsid w:val="00313672"/>
    <w:rsid w:val="00314DD0"/>
    <w:rsid w:val="00323229"/>
    <w:rsid w:val="003257A6"/>
    <w:rsid w:val="0032682F"/>
    <w:rsid w:val="003303B8"/>
    <w:rsid w:val="003326A4"/>
    <w:rsid w:val="003356ED"/>
    <w:rsid w:val="0036381C"/>
    <w:rsid w:val="00365582"/>
    <w:rsid w:val="00366479"/>
    <w:rsid w:val="0038553A"/>
    <w:rsid w:val="00396415"/>
    <w:rsid w:val="003D557A"/>
    <w:rsid w:val="00444829"/>
    <w:rsid w:val="00452069"/>
    <w:rsid w:val="004943BF"/>
    <w:rsid w:val="004B4F4A"/>
    <w:rsid w:val="004C0B3A"/>
    <w:rsid w:val="004C4BD0"/>
    <w:rsid w:val="004C542E"/>
    <w:rsid w:val="004D5420"/>
    <w:rsid w:val="004D67B0"/>
    <w:rsid w:val="004E06D6"/>
    <w:rsid w:val="004E18D7"/>
    <w:rsid w:val="004F0671"/>
    <w:rsid w:val="00507F30"/>
    <w:rsid w:val="00510CF4"/>
    <w:rsid w:val="00524FE6"/>
    <w:rsid w:val="00525F88"/>
    <w:rsid w:val="00541255"/>
    <w:rsid w:val="00545B01"/>
    <w:rsid w:val="0054632A"/>
    <w:rsid w:val="00560C07"/>
    <w:rsid w:val="00560FF0"/>
    <w:rsid w:val="005612EB"/>
    <w:rsid w:val="0056376E"/>
    <w:rsid w:val="00563848"/>
    <w:rsid w:val="0059045F"/>
    <w:rsid w:val="005947D2"/>
    <w:rsid w:val="005A5F7E"/>
    <w:rsid w:val="005A7B6A"/>
    <w:rsid w:val="005C24BF"/>
    <w:rsid w:val="005C2DFF"/>
    <w:rsid w:val="005D105C"/>
    <w:rsid w:val="005E15E1"/>
    <w:rsid w:val="005F6387"/>
    <w:rsid w:val="006045C9"/>
    <w:rsid w:val="00612093"/>
    <w:rsid w:val="006172BD"/>
    <w:rsid w:val="006416E2"/>
    <w:rsid w:val="00644586"/>
    <w:rsid w:val="006510B0"/>
    <w:rsid w:val="006576C7"/>
    <w:rsid w:val="00676A74"/>
    <w:rsid w:val="00677E0D"/>
    <w:rsid w:val="00682AB9"/>
    <w:rsid w:val="00686495"/>
    <w:rsid w:val="00692712"/>
    <w:rsid w:val="00697D42"/>
    <w:rsid w:val="006A4567"/>
    <w:rsid w:val="006B4ACC"/>
    <w:rsid w:val="006C4D47"/>
    <w:rsid w:val="006C7831"/>
    <w:rsid w:val="006F0ADD"/>
    <w:rsid w:val="00701DD9"/>
    <w:rsid w:val="00704790"/>
    <w:rsid w:val="0070738A"/>
    <w:rsid w:val="00713C4C"/>
    <w:rsid w:val="00714634"/>
    <w:rsid w:val="007328F1"/>
    <w:rsid w:val="00735BCA"/>
    <w:rsid w:val="00746895"/>
    <w:rsid w:val="00757BC2"/>
    <w:rsid w:val="007619F9"/>
    <w:rsid w:val="00761C67"/>
    <w:rsid w:val="007622C2"/>
    <w:rsid w:val="00775118"/>
    <w:rsid w:val="00776848"/>
    <w:rsid w:val="00780D34"/>
    <w:rsid w:val="007839A0"/>
    <w:rsid w:val="007A763A"/>
    <w:rsid w:val="007B2B64"/>
    <w:rsid w:val="007B7A09"/>
    <w:rsid w:val="007C1911"/>
    <w:rsid w:val="007D0848"/>
    <w:rsid w:val="007E32C8"/>
    <w:rsid w:val="007F0CE4"/>
    <w:rsid w:val="007F2E3A"/>
    <w:rsid w:val="00801A55"/>
    <w:rsid w:val="0080639C"/>
    <w:rsid w:val="00811A18"/>
    <w:rsid w:val="00812EA6"/>
    <w:rsid w:val="00825AB3"/>
    <w:rsid w:val="008556B3"/>
    <w:rsid w:val="00863800"/>
    <w:rsid w:val="00876E23"/>
    <w:rsid w:val="00884163"/>
    <w:rsid w:val="00884B0D"/>
    <w:rsid w:val="008867F7"/>
    <w:rsid w:val="008A0DE7"/>
    <w:rsid w:val="008A4F39"/>
    <w:rsid w:val="008B5F00"/>
    <w:rsid w:val="008C0DF4"/>
    <w:rsid w:val="008C11A8"/>
    <w:rsid w:val="008C18BA"/>
    <w:rsid w:val="008C46AC"/>
    <w:rsid w:val="008D33E1"/>
    <w:rsid w:val="008D3DBC"/>
    <w:rsid w:val="008D421C"/>
    <w:rsid w:val="008D4354"/>
    <w:rsid w:val="008D6F1B"/>
    <w:rsid w:val="008E3136"/>
    <w:rsid w:val="008E373E"/>
    <w:rsid w:val="008E4051"/>
    <w:rsid w:val="008E4304"/>
    <w:rsid w:val="00907927"/>
    <w:rsid w:val="00914CF6"/>
    <w:rsid w:val="00926C33"/>
    <w:rsid w:val="0095104B"/>
    <w:rsid w:val="00951254"/>
    <w:rsid w:val="00956819"/>
    <w:rsid w:val="009604BF"/>
    <w:rsid w:val="009649BF"/>
    <w:rsid w:val="00970B3E"/>
    <w:rsid w:val="00980325"/>
    <w:rsid w:val="00991456"/>
    <w:rsid w:val="009965AC"/>
    <w:rsid w:val="0099731B"/>
    <w:rsid w:val="009A7397"/>
    <w:rsid w:val="009B5BB1"/>
    <w:rsid w:val="009B6CB5"/>
    <w:rsid w:val="009B7DCC"/>
    <w:rsid w:val="009C23E3"/>
    <w:rsid w:val="009D656A"/>
    <w:rsid w:val="009F569B"/>
    <w:rsid w:val="00A05BF4"/>
    <w:rsid w:val="00A1245B"/>
    <w:rsid w:val="00A12F6B"/>
    <w:rsid w:val="00A138F9"/>
    <w:rsid w:val="00A14F30"/>
    <w:rsid w:val="00A31A18"/>
    <w:rsid w:val="00A36374"/>
    <w:rsid w:val="00A41BC2"/>
    <w:rsid w:val="00A43E34"/>
    <w:rsid w:val="00A52B96"/>
    <w:rsid w:val="00A542B9"/>
    <w:rsid w:val="00A54EB9"/>
    <w:rsid w:val="00A66EDB"/>
    <w:rsid w:val="00A77FC8"/>
    <w:rsid w:val="00A850A5"/>
    <w:rsid w:val="00A86DF5"/>
    <w:rsid w:val="00A86EAD"/>
    <w:rsid w:val="00A91E4E"/>
    <w:rsid w:val="00A95697"/>
    <w:rsid w:val="00A97506"/>
    <w:rsid w:val="00AA2019"/>
    <w:rsid w:val="00AB3583"/>
    <w:rsid w:val="00AB57C2"/>
    <w:rsid w:val="00AC44F9"/>
    <w:rsid w:val="00AC5E77"/>
    <w:rsid w:val="00AD370B"/>
    <w:rsid w:val="00AE47DE"/>
    <w:rsid w:val="00AF2430"/>
    <w:rsid w:val="00B00DB2"/>
    <w:rsid w:val="00B02D7E"/>
    <w:rsid w:val="00B06236"/>
    <w:rsid w:val="00B33026"/>
    <w:rsid w:val="00B33183"/>
    <w:rsid w:val="00B41020"/>
    <w:rsid w:val="00B44770"/>
    <w:rsid w:val="00B61019"/>
    <w:rsid w:val="00B61965"/>
    <w:rsid w:val="00B73E9D"/>
    <w:rsid w:val="00B745AC"/>
    <w:rsid w:val="00B80281"/>
    <w:rsid w:val="00B80E50"/>
    <w:rsid w:val="00B81D78"/>
    <w:rsid w:val="00B905C6"/>
    <w:rsid w:val="00B97DB8"/>
    <w:rsid w:val="00BB003D"/>
    <w:rsid w:val="00BB13CD"/>
    <w:rsid w:val="00BB407D"/>
    <w:rsid w:val="00BB747E"/>
    <w:rsid w:val="00BD29A8"/>
    <w:rsid w:val="00BD5FFF"/>
    <w:rsid w:val="00BD7770"/>
    <w:rsid w:val="00BE52E3"/>
    <w:rsid w:val="00BE550D"/>
    <w:rsid w:val="00BF1913"/>
    <w:rsid w:val="00C0140B"/>
    <w:rsid w:val="00C02704"/>
    <w:rsid w:val="00C26FA5"/>
    <w:rsid w:val="00C30916"/>
    <w:rsid w:val="00C32ABE"/>
    <w:rsid w:val="00C431F1"/>
    <w:rsid w:val="00C46EF7"/>
    <w:rsid w:val="00C67A07"/>
    <w:rsid w:val="00C67E0B"/>
    <w:rsid w:val="00C77B79"/>
    <w:rsid w:val="00C84669"/>
    <w:rsid w:val="00C9162C"/>
    <w:rsid w:val="00CC3E6E"/>
    <w:rsid w:val="00CD215D"/>
    <w:rsid w:val="00CE2354"/>
    <w:rsid w:val="00CE2DA0"/>
    <w:rsid w:val="00CE59A2"/>
    <w:rsid w:val="00CE64DF"/>
    <w:rsid w:val="00CF67AE"/>
    <w:rsid w:val="00D03F72"/>
    <w:rsid w:val="00D0632C"/>
    <w:rsid w:val="00D078A1"/>
    <w:rsid w:val="00D11976"/>
    <w:rsid w:val="00D16A89"/>
    <w:rsid w:val="00D21618"/>
    <w:rsid w:val="00D23B61"/>
    <w:rsid w:val="00D23EA8"/>
    <w:rsid w:val="00D41861"/>
    <w:rsid w:val="00D41FF7"/>
    <w:rsid w:val="00D429F5"/>
    <w:rsid w:val="00D51A20"/>
    <w:rsid w:val="00D5588A"/>
    <w:rsid w:val="00D55AD1"/>
    <w:rsid w:val="00D60437"/>
    <w:rsid w:val="00D63709"/>
    <w:rsid w:val="00D64A36"/>
    <w:rsid w:val="00D729D6"/>
    <w:rsid w:val="00D74807"/>
    <w:rsid w:val="00D9369E"/>
    <w:rsid w:val="00DA54CD"/>
    <w:rsid w:val="00DB5825"/>
    <w:rsid w:val="00DC0327"/>
    <w:rsid w:val="00DC2E25"/>
    <w:rsid w:val="00DC710F"/>
    <w:rsid w:val="00DD3872"/>
    <w:rsid w:val="00DF04D0"/>
    <w:rsid w:val="00E0171F"/>
    <w:rsid w:val="00E06868"/>
    <w:rsid w:val="00E06FF8"/>
    <w:rsid w:val="00E12854"/>
    <w:rsid w:val="00E26CE2"/>
    <w:rsid w:val="00E31D1A"/>
    <w:rsid w:val="00E53377"/>
    <w:rsid w:val="00E602F3"/>
    <w:rsid w:val="00E60F4B"/>
    <w:rsid w:val="00E75F52"/>
    <w:rsid w:val="00E77758"/>
    <w:rsid w:val="00E80756"/>
    <w:rsid w:val="00E87846"/>
    <w:rsid w:val="00E9142F"/>
    <w:rsid w:val="00E9428D"/>
    <w:rsid w:val="00E9624E"/>
    <w:rsid w:val="00EA0D64"/>
    <w:rsid w:val="00EA76FD"/>
    <w:rsid w:val="00EB1545"/>
    <w:rsid w:val="00EB3B93"/>
    <w:rsid w:val="00EB4EC8"/>
    <w:rsid w:val="00EC4312"/>
    <w:rsid w:val="00EC4CB9"/>
    <w:rsid w:val="00EC62A7"/>
    <w:rsid w:val="00EC75EA"/>
    <w:rsid w:val="00EE7699"/>
    <w:rsid w:val="00EE7AF0"/>
    <w:rsid w:val="00EF3904"/>
    <w:rsid w:val="00F01660"/>
    <w:rsid w:val="00F07F13"/>
    <w:rsid w:val="00F1375C"/>
    <w:rsid w:val="00F21FFE"/>
    <w:rsid w:val="00F42A94"/>
    <w:rsid w:val="00F5241C"/>
    <w:rsid w:val="00F528EE"/>
    <w:rsid w:val="00F55AD3"/>
    <w:rsid w:val="00F56634"/>
    <w:rsid w:val="00F7493C"/>
    <w:rsid w:val="00F74C60"/>
    <w:rsid w:val="00F86723"/>
    <w:rsid w:val="00F923EE"/>
    <w:rsid w:val="00F9250A"/>
    <w:rsid w:val="00F97C3E"/>
    <w:rsid w:val="00FA073D"/>
    <w:rsid w:val="00FB2D96"/>
    <w:rsid w:val="00FB32A5"/>
    <w:rsid w:val="00FB76EF"/>
    <w:rsid w:val="00FC23D5"/>
    <w:rsid w:val="00FC2F6D"/>
    <w:rsid w:val="00FD7ED7"/>
    <w:rsid w:val="00FE058E"/>
    <w:rsid w:val="00FE25FA"/>
    <w:rsid w:val="00FE3EA6"/>
    <w:rsid w:val="00FF1954"/>
    <w:rsid w:val="00FF629F"/>
    <w:rsid w:val="01B6F173"/>
    <w:rsid w:val="01F391DD"/>
    <w:rsid w:val="0418322C"/>
    <w:rsid w:val="05594F39"/>
    <w:rsid w:val="0568A180"/>
    <w:rsid w:val="0666F94E"/>
    <w:rsid w:val="07BC191D"/>
    <w:rsid w:val="0A2E9F2C"/>
    <w:rsid w:val="0C86112D"/>
    <w:rsid w:val="13199F41"/>
    <w:rsid w:val="175CFE50"/>
    <w:rsid w:val="1D0A1DEF"/>
    <w:rsid w:val="21F469D5"/>
    <w:rsid w:val="2A2C56DA"/>
    <w:rsid w:val="2C4C2747"/>
    <w:rsid w:val="3E2FF4CE"/>
    <w:rsid w:val="5458077A"/>
    <w:rsid w:val="55B1C87E"/>
    <w:rsid w:val="5F14CFFF"/>
    <w:rsid w:val="60FB3AFE"/>
    <w:rsid w:val="61794604"/>
    <w:rsid w:val="63D72DEA"/>
    <w:rsid w:val="64DA97E6"/>
    <w:rsid w:val="7570B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6C7D00"/>
  <w15:docId w15:val="{9CB1D626-5412-404A-8A75-6418279B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236"/>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paragraph" w:styleId="Heading1">
    <w:name w:val="heading 1"/>
    <w:basedOn w:val="Normal"/>
    <w:next w:val="Normal"/>
    <w:link w:val="Heading1Char"/>
    <w:qFormat/>
    <w:rsid w:val="00E9142F"/>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42F"/>
    <w:rPr>
      <w:rFonts w:ascii="Letter Gothic 12cpi" w:eastAsia="Times New Roman" w:hAnsi="Letter Gothic 12cpi" w:cs="Times New Roman"/>
      <w:sz w:val="24"/>
      <w:szCs w:val="24"/>
    </w:rPr>
  </w:style>
  <w:style w:type="paragraph" w:styleId="Footer">
    <w:name w:val="footer"/>
    <w:basedOn w:val="Normal"/>
    <w:link w:val="FooterChar"/>
    <w:uiPriority w:val="99"/>
    <w:rsid w:val="00E9142F"/>
    <w:pPr>
      <w:tabs>
        <w:tab w:val="center" w:pos="4320"/>
        <w:tab w:val="right" w:pos="8640"/>
      </w:tabs>
    </w:pPr>
  </w:style>
  <w:style w:type="character" w:customStyle="1" w:styleId="FooterChar">
    <w:name w:val="Footer Char"/>
    <w:basedOn w:val="DefaultParagraphFont"/>
    <w:link w:val="Footer"/>
    <w:uiPriority w:val="99"/>
    <w:rsid w:val="00E9142F"/>
    <w:rPr>
      <w:rFonts w:ascii="Letter Gothic 12cpi" w:eastAsia="Times New Roman" w:hAnsi="Letter Gothic 12cpi" w:cs="Times New Roman"/>
      <w:sz w:val="20"/>
      <w:szCs w:val="20"/>
    </w:rPr>
  </w:style>
  <w:style w:type="character" w:styleId="PageNumber">
    <w:name w:val="page number"/>
    <w:basedOn w:val="DefaultParagraphFont"/>
    <w:rsid w:val="00E9142F"/>
  </w:style>
  <w:style w:type="paragraph" w:styleId="Title">
    <w:name w:val="Title"/>
    <w:basedOn w:val="Normal"/>
    <w:link w:val="TitleChar"/>
    <w:qFormat/>
    <w:rsid w:val="00E9142F"/>
    <w:pPr>
      <w:jc w:val="center"/>
    </w:pPr>
    <w:rPr>
      <w:b/>
      <w:bCs/>
      <w:sz w:val="24"/>
      <w:szCs w:val="24"/>
      <w:u w:val="single"/>
    </w:rPr>
  </w:style>
  <w:style w:type="character" w:customStyle="1" w:styleId="TitleChar">
    <w:name w:val="Title Char"/>
    <w:basedOn w:val="DefaultParagraphFont"/>
    <w:link w:val="Title"/>
    <w:rsid w:val="00E9142F"/>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E9142F"/>
    <w:rPr>
      <w:b/>
      <w:bCs/>
      <w:sz w:val="24"/>
      <w:szCs w:val="24"/>
      <w:u w:val="single"/>
    </w:rPr>
  </w:style>
  <w:style w:type="character" w:customStyle="1" w:styleId="SubtitleChar">
    <w:name w:val="Subtitle Char"/>
    <w:basedOn w:val="DefaultParagraphFont"/>
    <w:link w:val="Subtitle"/>
    <w:rsid w:val="00E9142F"/>
    <w:rPr>
      <w:rFonts w:ascii="Letter Gothic 12cpi" w:eastAsia="Times New Roman" w:hAnsi="Letter Gothic 12cpi" w:cs="Times New Roman"/>
      <w:b/>
      <w:bCs/>
      <w:sz w:val="24"/>
      <w:szCs w:val="24"/>
      <w:u w:val="single"/>
    </w:rPr>
  </w:style>
  <w:style w:type="paragraph" w:styleId="BodyText">
    <w:name w:val="Body Text"/>
    <w:basedOn w:val="Normal"/>
    <w:link w:val="BodyTex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character" w:customStyle="1" w:styleId="BodyTextChar">
    <w:name w:val="Body Text Char"/>
    <w:basedOn w:val="DefaultParagraphFont"/>
    <w:link w:val="BodyText"/>
    <w:rsid w:val="00E9142F"/>
    <w:rPr>
      <w:rFonts w:ascii="Letter Gothic 12cpi" w:eastAsia="Times New Roman" w:hAnsi="Letter Gothic 12cpi" w:cs="Times New Roman"/>
      <w:color w:val="FF00FF"/>
      <w:sz w:val="24"/>
      <w:szCs w:val="24"/>
    </w:rPr>
  </w:style>
  <w:style w:type="paragraph" w:styleId="BodyTextIndent">
    <w:name w:val="Body Text Indent"/>
    <w:basedOn w:val="Normal"/>
    <w:link w:val="BodyTextIndent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character" w:customStyle="1" w:styleId="BodyTextIndentChar">
    <w:name w:val="Body Text Indent Char"/>
    <w:basedOn w:val="DefaultParagraphFont"/>
    <w:link w:val="BodyTextIndent"/>
    <w:rsid w:val="00E9142F"/>
    <w:rPr>
      <w:rFonts w:ascii="Letter Gothic 12cpi" w:eastAsia="Times New Roman" w:hAnsi="Letter Gothic 12cpi" w:cs="Times New Roman"/>
      <w:sz w:val="24"/>
      <w:szCs w:val="24"/>
    </w:rPr>
  </w:style>
  <w:style w:type="paragraph" w:styleId="BodyText3">
    <w:name w:val="Body Text 3"/>
    <w:basedOn w:val="Normal"/>
    <w:link w:val="BodyText3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character" w:customStyle="1" w:styleId="BodyText3Char">
    <w:name w:val="Body Text 3 Char"/>
    <w:basedOn w:val="DefaultParagraphFont"/>
    <w:link w:val="BodyText3"/>
    <w:rsid w:val="00E9142F"/>
    <w:rPr>
      <w:rFonts w:ascii="Letter Gothic 12cpi" w:eastAsia="Times New Roman" w:hAnsi="Letter Gothic 12cpi" w:cs="Times New Roman"/>
      <w:color w:val="FF0000"/>
      <w:sz w:val="24"/>
      <w:szCs w:val="24"/>
    </w:rPr>
  </w:style>
  <w:style w:type="paragraph" w:styleId="NormalWeb">
    <w:name w:val="Normal (Web)"/>
    <w:basedOn w:val="Normal"/>
    <w:rsid w:val="00E9142F"/>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E9142F"/>
    <w:rPr>
      <w:color w:val="0000FF"/>
      <w:u w:val="single"/>
    </w:rPr>
  </w:style>
  <w:style w:type="character" w:styleId="Strong">
    <w:name w:val="Strong"/>
    <w:qFormat/>
    <w:rsid w:val="00E9142F"/>
    <w:rPr>
      <w:b/>
      <w:bCs/>
    </w:rPr>
  </w:style>
  <w:style w:type="paragraph" w:styleId="BodyText2">
    <w:name w:val="Body Text 2"/>
    <w:basedOn w:val="Normal"/>
    <w:link w:val="BodyText2Char"/>
    <w:rsid w:val="00E9142F"/>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customStyle="1" w:styleId="BodyText2Char">
    <w:name w:val="Body Text 2 Char"/>
    <w:basedOn w:val="DefaultParagraphFont"/>
    <w:link w:val="BodyText2"/>
    <w:rsid w:val="00E9142F"/>
    <w:rPr>
      <w:rFonts w:ascii="Times New Roman" w:eastAsia="Times New Roman" w:hAnsi="Times New Roman" w:cs="Times New Roman"/>
      <w:b/>
      <w:bCs/>
      <w:sz w:val="24"/>
      <w:szCs w:val="20"/>
    </w:rPr>
  </w:style>
  <w:style w:type="paragraph" w:styleId="Header">
    <w:name w:val="header"/>
    <w:basedOn w:val="Normal"/>
    <w:link w:val="HeaderChar"/>
    <w:rsid w:val="00E9142F"/>
    <w:pPr>
      <w:tabs>
        <w:tab w:val="center" w:pos="4320"/>
        <w:tab w:val="right" w:pos="8640"/>
      </w:tabs>
    </w:pPr>
  </w:style>
  <w:style w:type="character" w:customStyle="1" w:styleId="HeaderChar">
    <w:name w:val="Header Char"/>
    <w:basedOn w:val="DefaultParagraphFont"/>
    <w:link w:val="Header"/>
    <w:rsid w:val="00E9142F"/>
    <w:rPr>
      <w:rFonts w:ascii="Letter Gothic 12cpi" w:eastAsia="Times New Roman" w:hAnsi="Letter Gothic 12cpi" w:cs="Times New Roman"/>
      <w:sz w:val="20"/>
      <w:szCs w:val="20"/>
    </w:rPr>
  </w:style>
  <w:style w:type="paragraph" w:styleId="DocumentMap">
    <w:name w:val="Document Map"/>
    <w:basedOn w:val="Normal"/>
    <w:link w:val="DocumentMapChar"/>
    <w:semiHidden/>
    <w:rsid w:val="00E9142F"/>
    <w:pPr>
      <w:shd w:val="clear" w:color="auto" w:fill="000080"/>
    </w:pPr>
    <w:rPr>
      <w:rFonts w:ascii="Tahoma" w:hAnsi="Tahoma" w:cs="Tahoma"/>
    </w:rPr>
  </w:style>
  <w:style w:type="character" w:customStyle="1" w:styleId="DocumentMapChar">
    <w:name w:val="Document Map Char"/>
    <w:basedOn w:val="DefaultParagraphFont"/>
    <w:link w:val="DocumentMap"/>
    <w:semiHidden/>
    <w:rsid w:val="00E9142F"/>
    <w:rPr>
      <w:rFonts w:ascii="Tahoma" w:eastAsia="Times New Roman" w:hAnsi="Tahoma" w:cs="Tahoma"/>
      <w:sz w:val="20"/>
      <w:szCs w:val="20"/>
      <w:shd w:val="clear" w:color="auto" w:fill="000080"/>
    </w:rPr>
  </w:style>
  <w:style w:type="paragraph" w:styleId="ListParagraph">
    <w:name w:val="List Paragraph"/>
    <w:basedOn w:val="Normal"/>
    <w:uiPriority w:val="34"/>
    <w:qFormat/>
    <w:rsid w:val="00E9142F"/>
    <w:pPr>
      <w:ind w:left="720"/>
    </w:pPr>
  </w:style>
  <w:style w:type="paragraph" w:styleId="BalloonText">
    <w:name w:val="Balloon Text"/>
    <w:basedOn w:val="Normal"/>
    <w:link w:val="BalloonTextChar"/>
    <w:rsid w:val="00E9142F"/>
    <w:rPr>
      <w:rFonts w:ascii="Tahoma" w:hAnsi="Tahoma" w:cs="Tahoma"/>
      <w:sz w:val="16"/>
      <w:szCs w:val="16"/>
    </w:rPr>
  </w:style>
  <w:style w:type="character" w:customStyle="1" w:styleId="BalloonTextChar">
    <w:name w:val="Balloon Text Char"/>
    <w:basedOn w:val="DefaultParagraphFont"/>
    <w:link w:val="BalloonText"/>
    <w:rsid w:val="00E9142F"/>
    <w:rPr>
      <w:rFonts w:ascii="Tahoma" w:eastAsia="Times New Roman" w:hAnsi="Tahoma" w:cs="Tahoma"/>
      <w:sz w:val="16"/>
      <w:szCs w:val="16"/>
    </w:rPr>
  </w:style>
  <w:style w:type="paragraph" w:styleId="FootnoteText">
    <w:name w:val="footnote text"/>
    <w:basedOn w:val="Normal"/>
    <w:link w:val="FootnoteTextChar"/>
    <w:uiPriority w:val="99"/>
    <w:rsid w:val="00E9142F"/>
  </w:style>
  <w:style w:type="character" w:customStyle="1" w:styleId="FootnoteTextChar">
    <w:name w:val="Footnote Text Char"/>
    <w:basedOn w:val="DefaultParagraphFont"/>
    <w:link w:val="FootnoteText"/>
    <w:uiPriority w:val="99"/>
    <w:rsid w:val="00E9142F"/>
    <w:rPr>
      <w:rFonts w:ascii="Letter Gothic 12cpi" w:eastAsia="Times New Roman" w:hAnsi="Letter Gothic 12cpi" w:cs="Times New Roman"/>
      <w:sz w:val="20"/>
      <w:szCs w:val="20"/>
    </w:rPr>
  </w:style>
  <w:style w:type="character" w:styleId="FootnoteReference">
    <w:name w:val="footnote reference"/>
    <w:uiPriority w:val="99"/>
    <w:rsid w:val="00E9142F"/>
    <w:rPr>
      <w:vertAlign w:val="superscript"/>
    </w:rPr>
  </w:style>
  <w:style w:type="paragraph" w:styleId="Caption">
    <w:name w:val="caption"/>
    <w:basedOn w:val="Normal"/>
    <w:next w:val="Normal"/>
    <w:unhideWhenUsed/>
    <w:qFormat/>
    <w:rsid w:val="00E9142F"/>
    <w:pPr>
      <w:tabs>
        <w:tab w:val="left" w:pos="-1440"/>
        <w:tab w:val="left" w:pos="-720"/>
      </w:tabs>
      <w:spacing w:after="200"/>
      <w:ind w:left="360"/>
    </w:pPr>
    <w:rPr>
      <w:rFonts w:ascii="Times New Roman" w:hAnsi="Times New Roman"/>
      <w:i/>
      <w:iCs/>
      <w:color w:val="44546A"/>
      <w:sz w:val="18"/>
      <w:szCs w:val="18"/>
    </w:rPr>
  </w:style>
  <w:style w:type="character" w:styleId="CommentReference">
    <w:name w:val="annotation reference"/>
    <w:rsid w:val="00E9142F"/>
    <w:rPr>
      <w:sz w:val="16"/>
      <w:szCs w:val="16"/>
    </w:rPr>
  </w:style>
  <w:style w:type="paragraph" w:styleId="CommentText">
    <w:name w:val="annotation text"/>
    <w:basedOn w:val="Normal"/>
    <w:link w:val="CommentTextChar"/>
    <w:rsid w:val="00E9142F"/>
  </w:style>
  <w:style w:type="character" w:customStyle="1" w:styleId="CommentTextChar">
    <w:name w:val="Comment Text Char"/>
    <w:basedOn w:val="DefaultParagraphFont"/>
    <w:link w:val="CommentText"/>
    <w:rsid w:val="00E9142F"/>
    <w:rPr>
      <w:rFonts w:ascii="Letter Gothic 12cpi" w:eastAsia="Times New Roman" w:hAnsi="Letter Gothic 12cpi" w:cs="Times New Roman"/>
      <w:sz w:val="20"/>
      <w:szCs w:val="20"/>
    </w:rPr>
  </w:style>
  <w:style w:type="paragraph" w:styleId="CommentSubject">
    <w:name w:val="annotation subject"/>
    <w:basedOn w:val="CommentText"/>
    <w:next w:val="CommentText"/>
    <w:link w:val="CommentSubjectChar"/>
    <w:rsid w:val="00E9142F"/>
    <w:rPr>
      <w:b/>
      <w:bCs/>
    </w:rPr>
  </w:style>
  <w:style w:type="character" w:customStyle="1" w:styleId="CommentSubjectChar">
    <w:name w:val="Comment Subject Char"/>
    <w:basedOn w:val="CommentTextChar"/>
    <w:link w:val="CommentSubject"/>
    <w:rsid w:val="00E9142F"/>
    <w:rPr>
      <w:rFonts w:ascii="Letter Gothic 12cpi" w:eastAsia="Times New Roman" w:hAnsi="Letter Gothic 12cpi" w:cs="Times New Roman"/>
      <w:b/>
      <w:bCs/>
      <w:sz w:val="20"/>
      <w:szCs w:val="20"/>
    </w:rPr>
  </w:style>
  <w:style w:type="character" w:styleId="FollowedHyperlink">
    <w:name w:val="FollowedHyperlink"/>
    <w:basedOn w:val="DefaultParagraphFont"/>
    <w:uiPriority w:val="99"/>
    <w:semiHidden/>
    <w:unhideWhenUsed/>
    <w:rsid w:val="00396415"/>
    <w:rPr>
      <w:color w:val="800080" w:themeColor="followedHyperlink"/>
      <w:u w:val="single"/>
    </w:rPr>
  </w:style>
  <w:style w:type="paragraph" w:styleId="Revision">
    <w:name w:val="Revision"/>
    <w:hidden/>
    <w:uiPriority w:val="99"/>
    <w:semiHidden/>
    <w:rsid w:val="00776848"/>
    <w:pPr>
      <w:spacing w:after="0" w:line="240" w:lineRule="auto"/>
    </w:pPr>
    <w:rPr>
      <w:rFonts w:ascii="Letter Gothic 12cpi" w:eastAsia="Times New Roman" w:hAnsi="Letter Gothic 12cpi" w:cs="Times New Roman"/>
      <w:sz w:val="20"/>
      <w:szCs w:val="20"/>
    </w:rPr>
  </w:style>
  <w:style w:type="character" w:styleId="UnresolvedMention">
    <w:name w:val="Unresolved Mention"/>
    <w:basedOn w:val="DefaultParagraphFont"/>
    <w:uiPriority w:val="99"/>
    <w:semiHidden/>
    <w:unhideWhenUsed/>
    <w:rsid w:val="00BD5FFF"/>
    <w:rPr>
      <w:color w:val="605E5C"/>
      <w:shd w:val="clear" w:color="auto" w:fill="E1DFDD"/>
    </w:rPr>
  </w:style>
  <w:style w:type="character" w:customStyle="1" w:styleId="normaltextrun">
    <w:name w:val="normaltextrun"/>
    <w:basedOn w:val="DefaultParagraphFont"/>
    <w:rsid w:val="008867F7"/>
  </w:style>
  <w:style w:type="character" w:customStyle="1" w:styleId="eop">
    <w:name w:val="eop"/>
    <w:basedOn w:val="DefaultParagraphFont"/>
    <w:rsid w:val="008867F7"/>
  </w:style>
  <w:style w:type="paragraph" w:customStyle="1" w:styleId="paragraph">
    <w:name w:val="paragraph"/>
    <w:basedOn w:val="Normal"/>
    <w:rsid w:val="00DC0327"/>
    <w:pPr>
      <w:widowControl/>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81397-9B19-4D3A-A635-F783799A3385}">
  <ds:schemaRefs>
    <ds:schemaRef ds:uri="http://schemas.openxmlformats.org/officeDocument/2006/bibliography"/>
  </ds:schemaRefs>
</ds:datastoreItem>
</file>

<file path=customXml/itemProps2.xml><?xml version="1.0" encoding="utf-8"?>
<ds:datastoreItem xmlns:ds="http://schemas.openxmlformats.org/officeDocument/2006/customXml" ds:itemID="{9727C86D-5046-4B38-A5A3-E9AA14D02590}">
  <ds:schemaRefs>
    <ds:schemaRef ds:uri="http://schemas.microsoft.com/sharepoint/v3/contenttype/forms"/>
  </ds:schemaRefs>
</ds:datastoreItem>
</file>

<file path=customXml/itemProps3.xml><?xml version="1.0" encoding="utf-8"?>
<ds:datastoreItem xmlns:ds="http://schemas.openxmlformats.org/officeDocument/2006/customXml" ds:itemID="{D8DCB467-8A43-4FAB-99C4-72D2CDD957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80407E-102F-4920-A8D6-A8C8129C2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Rhonda (FMCSA)</dc:creator>
  <cp:lastModifiedBy>Oliver, Roxane (FMCSA)</cp:lastModifiedBy>
  <cp:revision>11</cp:revision>
  <cp:lastPrinted>2019-12-31T15:20:00Z</cp:lastPrinted>
  <dcterms:created xsi:type="dcterms:W3CDTF">2026-03-17T15:45:00Z</dcterms:created>
  <dcterms:modified xsi:type="dcterms:W3CDTF">2026-03-18T18:02:37Z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