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2604E" w:rsidRPr="00A275BC" w:rsidP="564B20B7" w14:paraId="1502CB1A" w14:textId="44E8076E">
      <w:pPr>
        <w:jc w:val="center"/>
        <w:rPr>
          <w:szCs w:val="26"/>
        </w:rPr>
      </w:pPr>
      <w:r w:rsidRPr="00A275BC">
        <w:rPr>
          <w:szCs w:val="26"/>
        </w:rPr>
        <w:t>UNITED STATES OF AMERICA</w:t>
      </w:r>
    </w:p>
    <w:p w:rsidR="00A2604E" w:rsidRPr="00A275BC" w:rsidP="564B20B7" w14:paraId="273661E3" w14:textId="77777777">
      <w:pPr>
        <w:jc w:val="center"/>
        <w:rPr>
          <w:szCs w:val="26"/>
        </w:rPr>
      </w:pPr>
      <w:r w:rsidRPr="00A275BC">
        <w:rPr>
          <w:szCs w:val="26"/>
        </w:rPr>
        <w:t>FEDERAL ENERGY REGULATORY COMMISSION</w:t>
      </w:r>
    </w:p>
    <w:p w:rsidR="00A2604E" w:rsidRPr="00A275BC" w:rsidP="564B20B7" w14:paraId="6C561934" w14:textId="77777777">
      <w:pPr>
        <w:rPr>
          <w:szCs w:val="26"/>
        </w:rPr>
      </w:pPr>
    </w:p>
    <w:p w:rsidR="00A2604E" w:rsidRPr="00A275BC" w:rsidP="564B20B7" w14:paraId="3E11D4A1" w14:textId="757BC894">
      <w:pPr>
        <w:jc w:val="center"/>
        <w:rPr>
          <w:szCs w:val="26"/>
        </w:rPr>
      </w:pPr>
      <w:r w:rsidRPr="00A275BC">
        <w:rPr>
          <w:szCs w:val="26"/>
        </w:rPr>
        <w:t xml:space="preserve">[Docket No. </w:t>
      </w:r>
      <w:r w:rsidRPr="00A275BC" w:rsidR="60BFCADE">
        <w:rPr>
          <w:szCs w:val="26"/>
        </w:rPr>
        <w:t>IC26-8-000</w:t>
      </w:r>
      <w:r w:rsidRPr="00A275BC">
        <w:rPr>
          <w:szCs w:val="26"/>
        </w:rPr>
        <w:t>]</w:t>
      </w:r>
    </w:p>
    <w:p w:rsidR="00A2604E" w:rsidRPr="00A275BC" w:rsidP="564B20B7" w14:paraId="4D16FE54" w14:textId="77777777">
      <w:pPr>
        <w:rPr>
          <w:szCs w:val="26"/>
        </w:rPr>
      </w:pPr>
    </w:p>
    <w:p w:rsidR="00A2604E" w:rsidRPr="00A275BC" w:rsidP="564B20B7" w14:paraId="0627AE31" w14:textId="2D336B58">
      <w:pPr>
        <w:jc w:val="center"/>
        <w:rPr>
          <w:szCs w:val="26"/>
        </w:rPr>
      </w:pPr>
      <w:r w:rsidRPr="00A275BC">
        <w:rPr>
          <w:szCs w:val="26"/>
        </w:rPr>
        <w:t>COMMISSION INFORMATION COLLECTION ACTIVITIES (FERC-</w:t>
      </w:r>
      <w:r w:rsidRPr="00A275BC" w:rsidR="00C43470">
        <w:rPr>
          <w:szCs w:val="26"/>
        </w:rPr>
        <w:t>538</w:t>
      </w:r>
      <w:r w:rsidRPr="00A275BC">
        <w:rPr>
          <w:szCs w:val="26"/>
        </w:rPr>
        <w:t>)</w:t>
      </w:r>
      <w:r w:rsidRPr="00A275BC" w:rsidR="002673C4">
        <w:rPr>
          <w:szCs w:val="26"/>
        </w:rPr>
        <w:t xml:space="preserve"> </w:t>
      </w:r>
    </w:p>
    <w:p w:rsidR="00A2604E" w:rsidRPr="00A275BC" w:rsidP="564B20B7" w14:paraId="3B5240D4" w14:textId="77777777">
      <w:pPr>
        <w:jc w:val="center"/>
        <w:rPr>
          <w:szCs w:val="26"/>
        </w:rPr>
      </w:pPr>
      <w:r w:rsidRPr="00A275BC">
        <w:rPr>
          <w:szCs w:val="26"/>
        </w:rPr>
        <w:t>COMMENT REQUEST; EXTENSION</w:t>
      </w:r>
    </w:p>
    <w:p w:rsidR="00881405" w:rsidRPr="00A275BC" w:rsidP="564B20B7" w14:paraId="5D8DD33D" w14:textId="77777777">
      <w:pPr>
        <w:jc w:val="center"/>
        <w:rPr>
          <w:szCs w:val="26"/>
        </w:rPr>
      </w:pPr>
    </w:p>
    <w:p w:rsidR="005E410C" w:rsidRPr="00A275BC" w:rsidP="564B20B7" w14:paraId="66425AAB" w14:textId="413693AE">
      <w:pPr>
        <w:jc w:val="center"/>
        <w:rPr>
          <w:szCs w:val="26"/>
        </w:rPr>
      </w:pPr>
      <w:r w:rsidRPr="00A275BC">
        <w:rPr>
          <w:szCs w:val="26"/>
        </w:rPr>
        <w:t>(</w:t>
      </w:r>
      <w:r w:rsidRPr="00A275BC" w:rsidR="00A275BC">
        <w:rPr>
          <w:szCs w:val="26"/>
        </w:rPr>
        <w:t>January 20, 2026</w:t>
      </w:r>
      <w:r w:rsidRPr="00A275BC">
        <w:rPr>
          <w:szCs w:val="26"/>
        </w:rPr>
        <w:t>)</w:t>
      </w:r>
    </w:p>
    <w:p w:rsidR="000C5E3A" w:rsidRPr="00A275BC" w:rsidP="564B20B7" w14:paraId="6BB1CF1E" w14:textId="77777777">
      <w:pPr>
        <w:rPr>
          <w:szCs w:val="26"/>
        </w:rPr>
      </w:pPr>
    </w:p>
    <w:p w:rsidR="00A2604E" w:rsidRPr="00A275BC" w:rsidP="564B20B7" w14:paraId="735A1E72" w14:textId="77AB9DA0">
      <w:pPr>
        <w:rPr>
          <w:szCs w:val="26"/>
        </w:rPr>
      </w:pPr>
      <w:r w:rsidRPr="00A275BC">
        <w:rPr>
          <w:b/>
          <w:bCs/>
          <w:szCs w:val="26"/>
        </w:rPr>
        <w:t>AGENCY:</w:t>
      </w:r>
      <w:r w:rsidRPr="00A275BC" w:rsidR="7E6AC690">
        <w:rPr>
          <w:szCs w:val="26"/>
        </w:rPr>
        <w:t xml:space="preserve"> </w:t>
      </w:r>
      <w:r w:rsidRPr="00A275BC">
        <w:rPr>
          <w:szCs w:val="26"/>
        </w:rPr>
        <w:t>Federal Energy Regulatory Commission.</w:t>
      </w:r>
    </w:p>
    <w:p w:rsidR="00A2604E" w:rsidRPr="00A275BC" w:rsidP="564B20B7" w14:paraId="634EF64B" w14:textId="77777777">
      <w:pPr>
        <w:rPr>
          <w:szCs w:val="26"/>
        </w:rPr>
      </w:pPr>
    </w:p>
    <w:p w:rsidR="00A2604E" w:rsidRPr="00A275BC" w:rsidP="564B20B7" w14:paraId="674B9740" w14:textId="5B6BB03A">
      <w:pPr>
        <w:spacing w:line="480" w:lineRule="auto"/>
        <w:rPr>
          <w:szCs w:val="26"/>
        </w:rPr>
      </w:pPr>
      <w:r w:rsidRPr="00A275BC">
        <w:rPr>
          <w:b/>
          <w:bCs/>
          <w:szCs w:val="26"/>
        </w:rPr>
        <w:t>ACTION:</w:t>
      </w:r>
      <w:r w:rsidRPr="00A275BC" w:rsidR="7E6AC690">
        <w:rPr>
          <w:szCs w:val="26"/>
        </w:rPr>
        <w:t xml:space="preserve"> </w:t>
      </w:r>
      <w:bookmarkStart w:id="0" w:name="_Hlk68091542"/>
      <w:r w:rsidRPr="00A275BC">
        <w:rPr>
          <w:szCs w:val="26"/>
        </w:rPr>
        <w:t xml:space="preserve">Notice of information collection </w:t>
      </w:r>
      <w:bookmarkEnd w:id="0"/>
      <w:r w:rsidRPr="00A275BC">
        <w:rPr>
          <w:szCs w:val="26"/>
        </w:rPr>
        <w:t>and request for comments.</w:t>
      </w:r>
    </w:p>
    <w:p w:rsidR="00B556C9" w:rsidRPr="00A275BC" w:rsidP="564B20B7" w14:paraId="35DEAE81" w14:textId="554F532E">
      <w:pPr>
        <w:spacing w:after="160" w:line="480" w:lineRule="auto"/>
        <w:rPr>
          <w:rFonts w:eastAsiaTheme="minorEastAsia"/>
          <w:szCs w:val="26"/>
        </w:rPr>
      </w:pPr>
      <w:r w:rsidRPr="00A275BC">
        <w:rPr>
          <w:b/>
          <w:bCs/>
          <w:szCs w:val="26"/>
        </w:rPr>
        <w:t>SUMMARY:</w:t>
      </w:r>
      <w:r w:rsidRPr="00A275BC" w:rsidR="7E6AC690">
        <w:rPr>
          <w:szCs w:val="26"/>
        </w:rPr>
        <w:t xml:space="preserve"> </w:t>
      </w:r>
      <w:r w:rsidRPr="00A275BC">
        <w:rPr>
          <w:szCs w:val="26"/>
        </w:rPr>
        <w:t>In compliance with the requirements of the Paperwork Reduction Act of 1995</w:t>
      </w:r>
      <w:r w:rsidRPr="00A275BC" w:rsidR="009E2D84">
        <w:rPr>
          <w:szCs w:val="26"/>
        </w:rPr>
        <w:t xml:space="preserve">, </w:t>
      </w:r>
      <w:r w:rsidRPr="00A275BC">
        <w:rPr>
          <w:szCs w:val="26"/>
        </w:rPr>
        <w:t>the Federal Energy Regulatory Commission (Commission or FERC) is soliciting public comment on the currently approved information collection</w:t>
      </w:r>
      <w:r w:rsidRPr="00A275BC" w:rsidR="00C43470">
        <w:rPr>
          <w:szCs w:val="26"/>
        </w:rPr>
        <w:t xml:space="preserve"> FERC-538 (Gas Pipeline Certificates: Section 7(a) Mandatory Initial Service)</w:t>
      </w:r>
      <w:r w:rsidRPr="00A275BC" w:rsidR="00150CBC">
        <w:rPr>
          <w:rFonts w:eastAsiaTheme="minorEastAsia"/>
          <w:szCs w:val="26"/>
        </w:rPr>
        <w:t>.</w:t>
      </w:r>
    </w:p>
    <w:p w:rsidR="00A2604E" w:rsidRPr="00A275BC" w:rsidP="564B20B7" w14:paraId="5C5B574A" w14:textId="191345CF">
      <w:pPr>
        <w:spacing w:line="480" w:lineRule="auto"/>
        <w:rPr>
          <w:szCs w:val="26"/>
        </w:rPr>
      </w:pPr>
      <w:r w:rsidRPr="00A275BC">
        <w:rPr>
          <w:b/>
          <w:bCs/>
          <w:szCs w:val="26"/>
        </w:rPr>
        <w:t>DATES:</w:t>
      </w:r>
      <w:r w:rsidRPr="00A275BC" w:rsidR="7E6AC690">
        <w:rPr>
          <w:szCs w:val="26"/>
        </w:rPr>
        <w:t xml:space="preserve"> </w:t>
      </w:r>
      <w:r w:rsidRPr="00A275BC">
        <w:rPr>
          <w:szCs w:val="26"/>
        </w:rPr>
        <w:t>Comments on the collection of information are due [</w:t>
      </w:r>
      <w:r w:rsidRPr="00A275BC" w:rsidR="00CD56E5">
        <w:rPr>
          <w:b/>
          <w:bCs/>
          <w:szCs w:val="26"/>
        </w:rPr>
        <w:t>INSERT DATE</w:t>
      </w:r>
      <w:r w:rsidRPr="00A275BC">
        <w:rPr>
          <w:b/>
          <w:bCs/>
          <w:szCs w:val="26"/>
        </w:rPr>
        <w:t xml:space="preserve"> 60 days after </w:t>
      </w:r>
      <w:r w:rsidRPr="00A275BC" w:rsidR="00CA6D76">
        <w:rPr>
          <w:b/>
          <w:bCs/>
          <w:szCs w:val="26"/>
        </w:rPr>
        <w:t xml:space="preserve">date of </w:t>
      </w:r>
      <w:r w:rsidRPr="00A275BC">
        <w:rPr>
          <w:b/>
          <w:bCs/>
          <w:szCs w:val="26"/>
        </w:rPr>
        <w:t>publication in the Federal Register</w:t>
      </w:r>
      <w:r w:rsidRPr="00A275BC">
        <w:rPr>
          <w:szCs w:val="26"/>
        </w:rPr>
        <w:t xml:space="preserve">]. </w:t>
      </w:r>
    </w:p>
    <w:p w:rsidR="27E3A206" w:rsidRPr="00A275BC" w:rsidP="564B20B7" w14:paraId="1C4872EF" w14:textId="22BBC902">
      <w:pPr>
        <w:spacing w:line="480" w:lineRule="auto"/>
        <w:rPr>
          <w:color w:val="000000" w:themeColor="text1"/>
          <w:szCs w:val="26"/>
        </w:rPr>
      </w:pPr>
      <w:r w:rsidRPr="00A275BC">
        <w:rPr>
          <w:b/>
          <w:bCs/>
          <w:color w:val="000000" w:themeColor="text1"/>
          <w:szCs w:val="26"/>
        </w:rPr>
        <w:t>ADDRESSES:</w:t>
      </w:r>
      <w:r w:rsidRPr="00A275BC">
        <w:rPr>
          <w:color w:val="000000" w:themeColor="text1"/>
          <w:szCs w:val="26"/>
        </w:rPr>
        <w:t xml:space="preserve"> Please submit comments via email to </w:t>
      </w:r>
      <w:hyperlink r:id="rId10">
        <w:r w:rsidRPr="00A275BC">
          <w:rPr>
            <w:rStyle w:val="Hyperlink"/>
            <w:szCs w:val="26"/>
          </w:rPr>
          <w:t>DataClearance@FERC.gov</w:t>
        </w:r>
      </w:hyperlink>
      <w:r w:rsidRPr="00A275BC">
        <w:rPr>
          <w:color w:val="000000" w:themeColor="text1"/>
          <w:szCs w:val="26"/>
        </w:rPr>
        <w:t xml:space="preserve">. You must specify </w:t>
      </w:r>
      <w:r w:rsidRPr="00A275BC">
        <w:rPr>
          <w:color w:val="000000" w:themeColor="text1"/>
          <w:szCs w:val="26"/>
        </w:rPr>
        <w:t>the Docket</w:t>
      </w:r>
      <w:r w:rsidRPr="00A275BC">
        <w:rPr>
          <w:color w:val="000000" w:themeColor="text1"/>
          <w:szCs w:val="26"/>
        </w:rPr>
        <w:t xml:space="preserve"> No. (IC26-8-000) and the FERC Information Collection</w:t>
      </w:r>
      <w:r w:rsidRPr="00A275BC">
        <w:rPr>
          <w:b/>
          <w:bCs/>
          <w:color w:val="000000" w:themeColor="text1"/>
          <w:szCs w:val="26"/>
        </w:rPr>
        <w:t xml:space="preserve"> </w:t>
      </w:r>
      <w:r w:rsidRPr="00A275BC">
        <w:rPr>
          <w:color w:val="000000" w:themeColor="text1"/>
          <w:szCs w:val="26"/>
        </w:rPr>
        <w:t>number (FERC-538) in your email. If you are unable to file electronically, comments may be filed by USPS mail or by hand (including courier) delivery:</w:t>
      </w:r>
    </w:p>
    <w:p w:rsidR="27E3A206" w:rsidRPr="00A275BC" w:rsidP="564B20B7" w14:paraId="74A981AC" w14:textId="58227E58">
      <w:pPr>
        <w:pStyle w:val="ListParagraph"/>
        <w:numPr>
          <w:ilvl w:val="0"/>
          <w:numId w:val="1"/>
        </w:numPr>
        <w:spacing w:line="480" w:lineRule="auto"/>
        <w:rPr>
          <w:color w:val="000000" w:themeColor="text1"/>
          <w:szCs w:val="26"/>
        </w:rPr>
      </w:pPr>
      <w:r w:rsidRPr="00A275BC">
        <w:rPr>
          <w:color w:val="000000" w:themeColor="text1"/>
          <w:szCs w:val="26"/>
        </w:rPr>
        <w:t>Mail via U.S. Postal Service only, addressed to: Federal Energy Regulatory Commission, Secretary of the Commission, 888 First Street, N.E., Washington, DC 20426.</w:t>
      </w:r>
    </w:p>
    <w:p w:rsidR="27E3A206" w:rsidRPr="00A275BC" w:rsidP="6F3ACF46" w14:paraId="01389F45" w14:textId="731E4356">
      <w:pPr>
        <w:pStyle w:val="ListParagraph"/>
        <w:numPr>
          <w:ilvl w:val="0"/>
          <w:numId w:val="1"/>
        </w:numPr>
        <w:spacing w:line="480" w:lineRule="auto"/>
        <w:rPr>
          <w:color w:val="000000" w:themeColor="text1"/>
          <w:szCs w:val="26"/>
        </w:rPr>
      </w:pPr>
      <w:r w:rsidRPr="00A275BC">
        <w:rPr>
          <w:color w:val="000000" w:themeColor="text1"/>
          <w:szCs w:val="26"/>
        </w:rPr>
        <w:t>Hand (including courier) delivery to: Federal Energy Regulatory Commission, 12225 Wilkins Avenue, Rockville, MD 20852.</w:t>
      </w:r>
    </w:p>
    <w:p w:rsidR="27E3A206" w:rsidRPr="00A275BC" w:rsidP="6F3ACF46" w14:paraId="6AF1449E" w14:textId="4088826F">
      <w:pPr>
        <w:spacing w:line="480" w:lineRule="auto"/>
        <w:rPr>
          <w:color w:val="000000" w:themeColor="text1"/>
          <w:szCs w:val="26"/>
        </w:rPr>
      </w:pPr>
      <w:r w:rsidRPr="00A275BC">
        <w:rPr>
          <w:i/>
          <w:iCs/>
          <w:color w:val="000000" w:themeColor="text1"/>
          <w:szCs w:val="26"/>
        </w:rPr>
        <w:t>Docket:</w:t>
      </w:r>
      <w:r w:rsidRPr="00A275BC">
        <w:rPr>
          <w:color w:val="000000" w:themeColor="text1"/>
          <w:szCs w:val="26"/>
        </w:rPr>
        <w:t xml:space="preserve"> To view </w:t>
      </w:r>
      <w:r w:rsidRPr="00A275BC" w:rsidR="297D0705">
        <w:rPr>
          <w:color w:val="000000" w:themeColor="text1"/>
          <w:szCs w:val="26"/>
        </w:rPr>
        <w:t>information related to</w:t>
      </w:r>
      <w:r w:rsidRPr="00A275BC">
        <w:rPr>
          <w:color w:val="000000" w:themeColor="text1"/>
          <w:szCs w:val="26"/>
        </w:rPr>
        <w:t xml:space="preserve"> this docket, please visit </w:t>
      </w:r>
      <w:hyperlink r:id="rId11">
        <w:r w:rsidRPr="00A275BC">
          <w:rPr>
            <w:rStyle w:val="Hyperlink"/>
            <w:szCs w:val="26"/>
          </w:rPr>
          <w:t>https://elibrary.ferc.gov/eLibrary/search</w:t>
        </w:r>
      </w:hyperlink>
      <w:r w:rsidRPr="00A275BC">
        <w:rPr>
          <w:color w:val="000000" w:themeColor="text1"/>
          <w:szCs w:val="26"/>
        </w:rPr>
        <w:t>.</w:t>
      </w:r>
    </w:p>
    <w:p w:rsidR="27E3A206" w:rsidRPr="00A275BC" w:rsidP="564B20B7" w14:paraId="31602CE4" w14:textId="2372D16C">
      <w:pPr>
        <w:spacing w:line="480" w:lineRule="auto"/>
        <w:rPr>
          <w:color w:val="000000" w:themeColor="text1"/>
          <w:szCs w:val="26"/>
        </w:rPr>
      </w:pPr>
      <w:r w:rsidRPr="00A275BC">
        <w:rPr>
          <w:b/>
          <w:bCs/>
          <w:color w:val="000000" w:themeColor="text1"/>
          <w:szCs w:val="26"/>
        </w:rPr>
        <w:t>FOR FURTHER INFORMATION:</w:t>
      </w:r>
      <w:r w:rsidRPr="00A275BC">
        <w:rPr>
          <w:color w:val="000000" w:themeColor="text1"/>
          <w:szCs w:val="26"/>
        </w:rPr>
        <w:t xml:space="preserve"> Kayla Williams may be reached by e-mail at </w:t>
      </w:r>
      <w:hyperlink r:id="rId10">
        <w:r w:rsidRPr="00A275BC">
          <w:rPr>
            <w:rStyle w:val="Hyperlink"/>
            <w:szCs w:val="26"/>
          </w:rPr>
          <w:t>DataClearance@FERC.gov</w:t>
        </w:r>
      </w:hyperlink>
      <w:r w:rsidRPr="00A275BC">
        <w:rPr>
          <w:color w:val="000000" w:themeColor="text1"/>
          <w:szCs w:val="26"/>
        </w:rPr>
        <w:t>, or by telephone at (202)502-6468.</w:t>
      </w:r>
    </w:p>
    <w:p w:rsidR="00974659" w:rsidRPr="00A275BC" w:rsidP="564B20B7" w14:paraId="3CCB58E8" w14:textId="3F59591A">
      <w:pPr>
        <w:tabs>
          <w:tab w:val="left" w:pos="7880"/>
        </w:tabs>
        <w:spacing w:line="480" w:lineRule="auto"/>
        <w:rPr>
          <w:szCs w:val="26"/>
        </w:rPr>
      </w:pPr>
      <w:r w:rsidRPr="00A275BC">
        <w:rPr>
          <w:b/>
          <w:bCs/>
          <w:szCs w:val="26"/>
        </w:rPr>
        <w:t>SUPPLEMENTARY INFORMATION:</w:t>
      </w:r>
      <w:r w:rsidRPr="00A275BC" w:rsidR="7E6AC690">
        <w:rPr>
          <w:szCs w:val="26"/>
        </w:rPr>
        <w:t xml:space="preserve"> </w:t>
      </w:r>
    </w:p>
    <w:p w:rsidR="00C43470" w:rsidRPr="00A275BC" w:rsidP="564B20B7" w14:paraId="1D5BB7EB" w14:textId="3FA4C148">
      <w:pPr>
        <w:spacing w:line="480" w:lineRule="auto"/>
        <w:rPr>
          <w:i/>
          <w:iCs/>
          <w:szCs w:val="26"/>
        </w:rPr>
      </w:pPr>
      <w:r w:rsidRPr="00A275BC">
        <w:rPr>
          <w:i/>
          <w:iCs/>
          <w:szCs w:val="26"/>
        </w:rPr>
        <w:t>Title:</w:t>
      </w:r>
      <w:r w:rsidRPr="00A275BC">
        <w:rPr>
          <w:szCs w:val="26"/>
        </w:rPr>
        <w:t xml:space="preserve"> Gas Pipeline Certificates: Section 7(a) Mandatory Initial Service</w:t>
      </w:r>
    </w:p>
    <w:p w:rsidR="00C43470" w:rsidRPr="00A275BC" w:rsidP="564B20B7" w14:paraId="62AB7774" w14:textId="77777777">
      <w:pPr>
        <w:spacing w:line="480" w:lineRule="auto"/>
        <w:rPr>
          <w:szCs w:val="26"/>
        </w:rPr>
      </w:pPr>
      <w:r w:rsidRPr="00A275BC">
        <w:rPr>
          <w:i/>
          <w:iCs/>
          <w:szCs w:val="26"/>
        </w:rPr>
        <w:t>OMB Control No.:</w:t>
      </w:r>
      <w:r w:rsidRPr="00A275BC">
        <w:rPr>
          <w:szCs w:val="26"/>
        </w:rPr>
        <w:t xml:space="preserve"> 1902-0061</w:t>
      </w:r>
    </w:p>
    <w:p w:rsidR="00C43470" w:rsidRPr="00A275BC" w:rsidP="564B20B7" w14:paraId="6712891C" w14:textId="5C7A0BE9">
      <w:pPr>
        <w:spacing w:line="480" w:lineRule="auto"/>
        <w:rPr>
          <w:szCs w:val="26"/>
        </w:rPr>
      </w:pPr>
      <w:r w:rsidRPr="00A275BC">
        <w:rPr>
          <w:i/>
          <w:iCs/>
          <w:szCs w:val="26"/>
        </w:rPr>
        <w:t>Type of Request:</w:t>
      </w:r>
      <w:r w:rsidRPr="00A275BC">
        <w:rPr>
          <w:szCs w:val="26"/>
        </w:rPr>
        <w:t xml:space="preserve"> Three-year extension of the FERC-538 information collection requirements with no changes to the current reporting requirements. </w:t>
      </w:r>
    </w:p>
    <w:p w:rsidR="00C43470" w:rsidRPr="00A275BC" w:rsidP="564B20B7" w14:paraId="4D22ED8F" w14:textId="757EC064">
      <w:pPr>
        <w:spacing w:line="480" w:lineRule="auto"/>
        <w:rPr>
          <w:szCs w:val="26"/>
        </w:rPr>
      </w:pPr>
      <w:r w:rsidRPr="00A275BC">
        <w:rPr>
          <w:i/>
          <w:iCs/>
          <w:szCs w:val="26"/>
        </w:rPr>
        <w:t>Abstract</w:t>
      </w:r>
      <w:r w:rsidRPr="00A275BC">
        <w:rPr>
          <w:szCs w:val="26"/>
        </w:rPr>
        <w:t xml:space="preserve">: </w:t>
      </w:r>
      <w:r w:rsidRPr="00A275BC" w:rsidR="00117A32">
        <w:rPr>
          <w:szCs w:val="26"/>
        </w:rPr>
        <w:t>The purpose of FERC-53</w:t>
      </w:r>
      <w:r w:rsidRPr="00A275BC" w:rsidR="231750C2">
        <w:rPr>
          <w:szCs w:val="26"/>
        </w:rPr>
        <w:t>8</w:t>
      </w:r>
      <w:r w:rsidRPr="00A275BC" w:rsidR="007B71AB">
        <w:rPr>
          <w:szCs w:val="26"/>
        </w:rPr>
        <w:t xml:space="preserve"> is to implement the information collections pursuant to</w:t>
      </w:r>
      <w:r w:rsidRPr="00A275BC" w:rsidR="7E6AC690">
        <w:rPr>
          <w:i/>
          <w:iCs/>
          <w:szCs w:val="26"/>
        </w:rPr>
        <w:t xml:space="preserve"> </w:t>
      </w:r>
      <w:r w:rsidRPr="00A275BC">
        <w:rPr>
          <w:szCs w:val="26"/>
        </w:rPr>
        <w:t>sections 7(a), 10(a) and 16 of Natural Gas Act</w:t>
      </w:r>
      <w:r>
        <w:rPr>
          <w:rStyle w:val="FootnoteReference"/>
        </w:rPr>
        <w:footnoteReference w:id="3"/>
      </w:r>
      <w:r w:rsidRPr="00A275BC">
        <w:rPr>
          <w:szCs w:val="26"/>
        </w:rPr>
        <w:t>,</w:t>
      </w:r>
      <w:r w:rsidRPr="00A275BC" w:rsidR="001F00EE">
        <w:rPr>
          <w:szCs w:val="26"/>
        </w:rPr>
        <w:t xml:space="preserve"> and part 156 of the Commission Regulations</w:t>
      </w:r>
      <w:r w:rsidRPr="00A275BC" w:rsidR="00F5592E">
        <w:rPr>
          <w:szCs w:val="26"/>
        </w:rPr>
        <w:t>.</w:t>
      </w:r>
      <w:r>
        <w:rPr>
          <w:rStyle w:val="FootnoteReference"/>
          <w:b w:val="0"/>
        </w:rPr>
        <w:footnoteReference w:id="4"/>
      </w:r>
      <w:r w:rsidRPr="00A275BC" w:rsidR="7E6AC690">
        <w:rPr>
          <w:szCs w:val="26"/>
        </w:rPr>
        <w:t xml:space="preserve"> </w:t>
      </w:r>
      <w:r w:rsidRPr="00A275BC" w:rsidR="007B71AB">
        <w:rPr>
          <w:szCs w:val="26"/>
        </w:rPr>
        <w:t>These</w:t>
      </w:r>
      <w:r w:rsidRPr="00A275BC" w:rsidR="00DB62D5">
        <w:rPr>
          <w:szCs w:val="26"/>
        </w:rPr>
        <w:t xml:space="preserve"> statutes and</w:t>
      </w:r>
      <w:r w:rsidRPr="00A275BC" w:rsidR="007B71AB">
        <w:rPr>
          <w:szCs w:val="26"/>
        </w:rPr>
        <w:t xml:space="preserve"> regulations</w:t>
      </w:r>
      <w:r w:rsidRPr="00A275BC">
        <w:rPr>
          <w:szCs w:val="26"/>
        </w:rPr>
        <w:t xml:space="preserve"> </w:t>
      </w:r>
      <w:r w:rsidRPr="00A275BC" w:rsidR="007B71AB">
        <w:rPr>
          <w:szCs w:val="26"/>
        </w:rPr>
        <w:t xml:space="preserve">allow for </w:t>
      </w:r>
      <w:r w:rsidRPr="00A275BC">
        <w:rPr>
          <w:szCs w:val="26"/>
        </w:rPr>
        <w:t>the Commission</w:t>
      </w:r>
      <w:r w:rsidRPr="00A275BC" w:rsidR="00FB6146">
        <w:rPr>
          <w:szCs w:val="26"/>
        </w:rPr>
        <w:t>, after receiving an application,</w:t>
      </w:r>
      <w:r w:rsidRPr="00A275BC">
        <w:rPr>
          <w:szCs w:val="26"/>
        </w:rPr>
        <w:t xml:space="preserve"> </w:t>
      </w:r>
      <w:r w:rsidRPr="00A275BC" w:rsidR="007B71AB">
        <w:rPr>
          <w:szCs w:val="26"/>
        </w:rPr>
        <w:t xml:space="preserve">to </w:t>
      </w:r>
      <w:r w:rsidRPr="00A275BC">
        <w:rPr>
          <w:szCs w:val="26"/>
        </w:rPr>
        <w:t>order a natural gas company to extend or improve its transportation facilities</w:t>
      </w:r>
      <w:r w:rsidRPr="00A275BC" w:rsidR="00EB5157">
        <w:rPr>
          <w:szCs w:val="26"/>
        </w:rPr>
        <w:t xml:space="preserve"> </w:t>
      </w:r>
      <w:r w:rsidRPr="00A275BC">
        <w:rPr>
          <w:szCs w:val="26"/>
        </w:rPr>
        <w:t>and sell natural gas to the municipality or person and, for such purpose, to extend its transportation facilities to communities immediately adjacent to such facilities or to territories served by the natural gas pipeline company.</w:t>
      </w:r>
      <w:r w:rsidRPr="00A275BC" w:rsidR="7E6AC690">
        <w:rPr>
          <w:szCs w:val="26"/>
        </w:rPr>
        <w:t xml:space="preserve"> </w:t>
      </w:r>
      <w:r w:rsidRPr="00A275BC">
        <w:rPr>
          <w:szCs w:val="26"/>
        </w:rPr>
        <w:t xml:space="preserve">The Commission uses the application data </w:t>
      </w:r>
      <w:r w:rsidRPr="00A275BC">
        <w:rPr>
          <w:szCs w:val="26"/>
        </w:rPr>
        <w:t>in order to</w:t>
      </w:r>
      <w:r w:rsidRPr="00A275BC">
        <w:rPr>
          <w:szCs w:val="26"/>
        </w:rPr>
        <w:t xml:space="preserve"> be fully informed concerning the applicant, and the service the applicant is requesting.</w:t>
      </w:r>
    </w:p>
    <w:p w:rsidR="00C43470" w:rsidRPr="00A275BC" w:rsidP="564B20B7" w14:paraId="5000607D" w14:textId="77777777">
      <w:pPr>
        <w:spacing w:line="480" w:lineRule="auto"/>
        <w:rPr>
          <w:szCs w:val="26"/>
        </w:rPr>
      </w:pPr>
      <w:r w:rsidRPr="00A275BC">
        <w:rPr>
          <w:i/>
          <w:iCs/>
          <w:szCs w:val="26"/>
        </w:rPr>
        <w:t xml:space="preserve">Type of Respondents: </w:t>
      </w:r>
      <w:r w:rsidRPr="00A275BC">
        <w:rPr>
          <w:szCs w:val="26"/>
        </w:rPr>
        <w:t>Persons or municipalities authorized to engage in the local distribution of natural gas.</w:t>
      </w:r>
    </w:p>
    <w:p w:rsidR="00C43470" w:rsidRPr="00A275BC" w:rsidP="564B20B7" w14:paraId="39827793" w14:textId="77777777">
      <w:pPr>
        <w:spacing w:line="480" w:lineRule="auto"/>
        <w:rPr>
          <w:szCs w:val="26"/>
        </w:rPr>
      </w:pPr>
      <w:r w:rsidRPr="00A275BC">
        <w:rPr>
          <w:i/>
          <w:iCs/>
          <w:szCs w:val="26"/>
        </w:rPr>
        <w:t>Estimate of Annual Burden</w:t>
      </w:r>
      <w:r>
        <w:rPr>
          <w:b/>
          <w:bCs/>
          <w:i/>
          <w:iCs/>
          <w:szCs w:val="26"/>
          <w:vertAlign w:val="superscript"/>
        </w:rPr>
        <w:footnoteReference w:id="5"/>
      </w:r>
      <w:r w:rsidRPr="00A275BC">
        <w:rPr>
          <w:i/>
          <w:iCs/>
          <w:szCs w:val="26"/>
        </w:rPr>
        <w:t xml:space="preserve">: </w:t>
      </w:r>
      <w:r w:rsidRPr="00A275BC">
        <w:rPr>
          <w:szCs w:val="26"/>
        </w:rPr>
        <w:t>The Commission estimates the annual reporting burden and cost for the information collection as:</w:t>
      </w:r>
      <w:r w:rsidRPr="00A275BC">
        <w:rPr>
          <w:szCs w:val="26"/>
        </w:rPr>
        <w:tab/>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60"/>
        <w:gridCol w:w="1495"/>
        <w:gridCol w:w="1495"/>
        <w:gridCol w:w="1409"/>
        <w:gridCol w:w="1310"/>
        <w:gridCol w:w="1316"/>
        <w:gridCol w:w="1234"/>
      </w:tblGrid>
      <w:tr w14:paraId="4C4DA882" w14:textId="77777777" w:rsidTr="42E9CA74">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878" w:type="pct"/>
            <w:shd w:val="clear" w:color="auto" w:fill="D9D9D9" w:themeFill="background1" w:themeFillShade="D9"/>
          </w:tcPr>
          <w:p w:rsidR="00C43470" w:rsidRPr="00A275BC" w:rsidP="564B20B7" w14:paraId="6B513C22" w14:textId="77777777">
            <w:pPr>
              <w:jc w:val="center"/>
              <w:rPr>
                <w:rFonts w:eastAsia="Calibri"/>
                <w:b/>
                <w:bCs/>
                <w:szCs w:val="26"/>
              </w:rPr>
            </w:pPr>
          </w:p>
        </w:tc>
        <w:tc>
          <w:tcPr>
            <w:tcW w:w="746" w:type="pct"/>
            <w:shd w:val="clear" w:color="auto" w:fill="D9D9D9" w:themeFill="background1" w:themeFillShade="D9"/>
          </w:tcPr>
          <w:p w:rsidR="00C43470" w:rsidRPr="00A275BC" w:rsidP="564B20B7" w14:paraId="267CDC63" w14:textId="77777777">
            <w:pPr>
              <w:jc w:val="center"/>
              <w:rPr>
                <w:rFonts w:eastAsia="Calibri"/>
                <w:b/>
                <w:bCs/>
                <w:szCs w:val="26"/>
              </w:rPr>
            </w:pPr>
            <w:r w:rsidRPr="00A275BC">
              <w:rPr>
                <w:rFonts w:eastAsia="Calibri"/>
                <w:b/>
                <w:bCs/>
                <w:szCs w:val="26"/>
              </w:rPr>
              <w:t>Number of Respondents</w:t>
            </w:r>
            <w:r w:rsidRPr="00A275BC">
              <w:rPr>
                <w:szCs w:val="26"/>
              </w:rPr>
              <w:br/>
            </w:r>
            <w:r w:rsidRPr="00A275BC">
              <w:rPr>
                <w:rFonts w:eastAsia="Calibri"/>
                <w:b/>
                <w:bCs/>
                <w:szCs w:val="26"/>
              </w:rPr>
              <w:t>(1)</w:t>
            </w:r>
          </w:p>
        </w:tc>
        <w:tc>
          <w:tcPr>
            <w:tcW w:w="746" w:type="pct"/>
            <w:shd w:val="clear" w:color="auto" w:fill="D9D9D9" w:themeFill="background1" w:themeFillShade="D9"/>
          </w:tcPr>
          <w:p w:rsidR="00C43470" w:rsidRPr="00A275BC" w:rsidP="564B20B7" w14:paraId="1F1F9B82" w14:textId="77777777">
            <w:pPr>
              <w:jc w:val="center"/>
              <w:rPr>
                <w:rFonts w:eastAsia="Calibri"/>
                <w:b/>
                <w:bCs/>
                <w:szCs w:val="26"/>
              </w:rPr>
            </w:pPr>
            <w:r w:rsidRPr="00A275BC">
              <w:rPr>
                <w:rFonts w:eastAsia="Calibri"/>
                <w:b/>
                <w:bCs/>
                <w:szCs w:val="26"/>
              </w:rPr>
              <w:t>Annual Number of Responses per Respondent</w:t>
            </w:r>
          </w:p>
          <w:p w:rsidR="00C43470" w:rsidRPr="00A275BC" w:rsidP="564B20B7" w14:paraId="1A9D8007" w14:textId="77777777">
            <w:pPr>
              <w:jc w:val="center"/>
              <w:rPr>
                <w:rFonts w:eastAsia="Calibri"/>
                <w:b/>
                <w:bCs/>
                <w:szCs w:val="26"/>
              </w:rPr>
            </w:pPr>
            <w:r w:rsidRPr="00A275BC">
              <w:rPr>
                <w:rFonts w:eastAsia="Calibri"/>
                <w:b/>
                <w:bCs/>
                <w:szCs w:val="26"/>
              </w:rPr>
              <w:t>(2)</w:t>
            </w:r>
          </w:p>
        </w:tc>
        <w:tc>
          <w:tcPr>
            <w:tcW w:w="703" w:type="pct"/>
            <w:shd w:val="clear" w:color="auto" w:fill="D9D9D9" w:themeFill="background1" w:themeFillShade="D9"/>
          </w:tcPr>
          <w:p w:rsidR="00C43470" w:rsidRPr="00A275BC" w:rsidP="564B20B7" w14:paraId="2745500E" w14:textId="77777777">
            <w:pPr>
              <w:jc w:val="center"/>
              <w:rPr>
                <w:rFonts w:eastAsia="Calibri"/>
                <w:b/>
                <w:bCs/>
                <w:szCs w:val="26"/>
              </w:rPr>
            </w:pPr>
            <w:r w:rsidRPr="00A275BC">
              <w:rPr>
                <w:rFonts w:eastAsia="Calibri"/>
                <w:b/>
                <w:bCs/>
                <w:szCs w:val="26"/>
              </w:rPr>
              <w:t>Total Number of Responses (</w:t>
            </w:r>
            <w:r w:rsidRPr="00A275BC">
              <w:rPr>
                <w:rFonts w:eastAsia="Calibri"/>
                <w:b/>
                <w:bCs/>
                <w:szCs w:val="26"/>
              </w:rPr>
              <w:t>1)*</w:t>
            </w:r>
            <w:r w:rsidRPr="00A275BC">
              <w:rPr>
                <w:rFonts w:eastAsia="Calibri"/>
                <w:b/>
                <w:bCs/>
                <w:szCs w:val="26"/>
              </w:rPr>
              <w:t>(</w:t>
            </w:r>
            <w:r w:rsidRPr="00A275BC">
              <w:rPr>
                <w:rFonts w:eastAsia="Calibri"/>
                <w:b/>
                <w:bCs/>
                <w:szCs w:val="26"/>
              </w:rPr>
              <w:t>2)=</w:t>
            </w:r>
            <w:r w:rsidRPr="00A275BC">
              <w:rPr>
                <w:rFonts w:eastAsia="Calibri"/>
                <w:b/>
                <w:bCs/>
                <w:szCs w:val="26"/>
              </w:rPr>
              <w:t>(3)</w:t>
            </w:r>
          </w:p>
        </w:tc>
        <w:tc>
          <w:tcPr>
            <w:tcW w:w="654" w:type="pct"/>
            <w:shd w:val="clear" w:color="auto" w:fill="D9D9D9" w:themeFill="background1" w:themeFillShade="D9"/>
          </w:tcPr>
          <w:p w:rsidR="00C43470" w:rsidRPr="00A275BC" w:rsidP="564B20B7" w14:paraId="291CF5D0" w14:textId="77777777">
            <w:pPr>
              <w:jc w:val="center"/>
              <w:rPr>
                <w:rFonts w:eastAsia="Calibri"/>
                <w:b/>
                <w:bCs/>
                <w:szCs w:val="26"/>
              </w:rPr>
            </w:pPr>
            <w:r w:rsidRPr="00A275BC">
              <w:rPr>
                <w:rFonts w:eastAsia="Calibri"/>
                <w:b/>
                <w:bCs/>
                <w:szCs w:val="26"/>
              </w:rPr>
              <w:t>Average Burden Hrs. &amp; Cost ($) Per Response</w:t>
            </w:r>
            <w:bookmarkStart w:id="1" w:name="_Ref433704633"/>
            <w:r>
              <w:rPr>
                <w:rFonts w:eastAsia="Calibri"/>
                <w:b/>
                <w:bCs/>
                <w:szCs w:val="26"/>
                <w:vertAlign w:val="superscript"/>
              </w:rPr>
              <w:footnoteReference w:id="6"/>
            </w:r>
            <w:bookmarkEnd w:id="1"/>
          </w:p>
          <w:p w:rsidR="00C43470" w:rsidRPr="00A275BC" w:rsidP="564B20B7" w14:paraId="570F0667" w14:textId="77777777">
            <w:pPr>
              <w:jc w:val="center"/>
              <w:rPr>
                <w:rFonts w:eastAsia="Calibri"/>
                <w:b/>
                <w:bCs/>
                <w:szCs w:val="26"/>
              </w:rPr>
            </w:pPr>
            <w:r w:rsidRPr="00A275BC">
              <w:rPr>
                <w:rFonts w:eastAsia="Calibri"/>
                <w:b/>
                <w:bCs/>
                <w:szCs w:val="26"/>
              </w:rPr>
              <w:t>(4)</w:t>
            </w:r>
          </w:p>
        </w:tc>
        <w:tc>
          <w:tcPr>
            <w:tcW w:w="657" w:type="pct"/>
            <w:shd w:val="clear" w:color="auto" w:fill="D9D9D9" w:themeFill="background1" w:themeFillShade="D9"/>
          </w:tcPr>
          <w:p w:rsidR="00C43470" w:rsidRPr="00A275BC" w:rsidP="564B20B7" w14:paraId="76756F16" w14:textId="77777777">
            <w:pPr>
              <w:jc w:val="center"/>
              <w:rPr>
                <w:rFonts w:eastAsia="Calibri"/>
                <w:b/>
                <w:bCs/>
                <w:szCs w:val="26"/>
              </w:rPr>
            </w:pPr>
            <w:r w:rsidRPr="00A275BC">
              <w:rPr>
                <w:rFonts w:eastAsia="Calibri"/>
                <w:b/>
                <w:bCs/>
                <w:szCs w:val="26"/>
              </w:rPr>
              <w:t>Total Annual Burden Hours &amp; Total Annual Cost ($)</w:t>
            </w:r>
          </w:p>
          <w:p w:rsidR="00C43470" w:rsidRPr="00A275BC" w:rsidP="564B20B7" w14:paraId="12339EC0" w14:textId="77777777">
            <w:pPr>
              <w:jc w:val="center"/>
              <w:rPr>
                <w:rFonts w:eastAsia="Calibri"/>
                <w:b/>
                <w:bCs/>
                <w:szCs w:val="26"/>
              </w:rPr>
            </w:pPr>
            <w:r w:rsidRPr="00A275BC">
              <w:rPr>
                <w:rFonts w:eastAsia="Calibri"/>
                <w:b/>
                <w:bCs/>
                <w:szCs w:val="26"/>
              </w:rPr>
              <w:t>(</w:t>
            </w:r>
            <w:r w:rsidRPr="00A275BC">
              <w:rPr>
                <w:rFonts w:eastAsia="Calibri"/>
                <w:b/>
                <w:bCs/>
                <w:szCs w:val="26"/>
              </w:rPr>
              <w:t>3)*</w:t>
            </w:r>
            <w:r w:rsidRPr="00A275BC">
              <w:rPr>
                <w:rFonts w:eastAsia="Calibri"/>
                <w:b/>
                <w:bCs/>
                <w:szCs w:val="26"/>
              </w:rPr>
              <w:t>(</w:t>
            </w:r>
            <w:r w:rsidRPr="00A275BC">
              <w:rPr>
                <w:rFonts w:eastAsia="Calibri"/>
                <w:b/>
                <w:bCs/>
                <w:szCs w:val="26"/>
              </w:rPr>
              <w:t>4)=</w:t>
            </w:r>
            <w:r w:rsidRPr="00A275BC">
              <w:rPr>
                <w:rFonts w:eastAsia="Calibri"/>
                <w:b/>
                <w:bCs/>
                <w:szCs w:val="26"/>
              </w:rPr>
              <w:t>(5)</w:t>
            </w:r>
          </w:p>
        </w:tc>
        <w:tc>
          <w:tcPr>
            <w:tcW w:w="616" w:type="pct"/>
            <w:shd w:val="clear" w:color="auto" w:fill="D9D9D9" w:themeFill="background1" w:themeFillShade="D9"/>
          </w:tcPr>
          <w:p w:rsidR="00C43470" w:rsidRPr="00A275BC" w:rsidP="564B20B7" w14:paraId="615DD3AF" w14:textId="77777777">
            <w:pPr>
              <w:jc w:val="center"/>
              <w:rPr>
                <w:rFonts w:eastAsia="Calibri"/>
                <w:b/>
                <w:bCs/>
                <w:szCs w:val="26"/>
              </w:rPr>
            </w:pPr>
            <w:r w:rsidRPr="00A275BC">
              <w:rPr>
                <w:rFonts w:eastAsia="Calibri"/>
                <w:b/>
                <w:bCs/>
                <w:szCs w:val="26"/>
              </w:rPr>
              <w:t>Cost per Respondent</w:t>
            </w:r>
          </w:p>
          <w:p w:rsidR="00C43470" w:rsidRPr="00A275BC" w:rsidP="564B20B7" w14:paraId="678ED9A8" w14:textId="77777777">
            <w:pPr>
              <w:jc w:val="center"/>
              <w:rPr>
                <w:rFonts w:eastAsia="Calibri"/>
                <w:b/>
                <w:bCs/>
                <w:szCs w:val="26"/>
              </w:rPr>
            </w:pPr>
            <w:r w:rsidRPr="00A275BC">
              <w:rPr>
                <w:rFonts w:eastAsia="Calibri"/>
                <w:b/>
                <w:bCs/>
                <w:szCs w:val="26"/>
              </w:rPr>
              <w:t xml:space="preserve"> ($)</w:t>
            </w:r>
          </w:p>
          <w:p w:rsidR="00C43470" w:rsidRPr="00A275BC" w:rsidP="564B20B7" w14:paraId="6E40F040" w14:textId="77777777">
            <w:pPr>
              <w:jc w:val="center"/>
              <w:rPr>
                <w:rFonts w:eastAsia="Calibri"/>
                <w:b/>
                <w:bCs/>
                <w:szCs w:val="26"/>
              </w:rPr>
            </w:pPr>
            <w:r w:rsidRPr="00A275BC">
              <w:rPr>
                <w:rFonts w:eastAsia="Calibri"/>
                <w:b/>
                <w:bCs/>
                <w:szCs w:val="26"/>
              </w:rPr>
              <w:t>(</w:t>
            </w:r>
            <w:r w:rsidRPr="00A275BC">
              <w:rPr>
                <w:rFonts w:eastAsia="Calibri"/>
                <w:b/>
                <w:bCs/>
                <w:szCs w:val="26"/>
              </w:rPr>
              <w:t>5)÷</w:t>
            </w:r>
            <w:r w:rsidRPr="00A275BC">
              <w:rPr>
                <w:rFonts w:eastAsia="Calibri"/>
                <w:b/>
                <w:bCs/>
                <w:szCs w:val="26"/>
              </w:rPr>
              <w:t>(1)</w:t>
            </w:r>
          </w:p>
        </w:tc>
      </w:tr>
      <w:tr w14:paraId="462F60BF" w14:textId="77777777" w:rsidTr="42E9CA74">
        <w:tblPrEx>
          <w:tblW w:w="5358" w:type="pct"/>
          <w:tblInd w:w="-72" w:type="dxa"/>
          <w:tblLayout w:type="fixed"/>
          <w:tblLook w:val="01E0"/>
        </w:tblPrEx>
        <w:trPr>
          <w:cantSplit/>
        </w:trPr>
        <w:tc>
          <w:tcPr>
            <w:tcW w:w="878" w:type="pct"/>
          </w:tcPr>
          <w:p w:rsidR="00C43470" w:rsidRPr="00A275BC" w:rsidP="564B20B7" w14:paraId="5A46545F" w14:textId="77777777">
            <w:pPr>
              <w:rPr>
                <w:rFonts w:eastAsia="Calibri"/>
                <w:szCs w:val="26"/>
              </w:rPr>
            </w:pPr>
            <w:r w:rsidRPr="00A275BC">
              <w:rPr>
                <w:rFonts w:eastAsia="Calibri"/>
                <w:szCs w:val="26"/>
              </w:rPr>
              <w:t>Gas Pipeline Certificates</w:t>
            </w:r>
          </w:p>
        </w:tc>
        <w:tc>
          <w:tcPr>
            <w:tcW w:w="746" w:type="pct"/>
          </w:tcPr>
          <w:p w:rsidR="00C43470" w:rsidRPr="00A275BC" w:rsidP="564B20B7" w14:paraId="571FB5D9" w14:textId="77777777">
            <w:pPr>
              <w:jc w:val="right"/>
              <w:rPr>
                <w:rFonts w:eastAsia="Calibri"/>
                <w:szCs w:val="26"/>
              </w:rPr>
            </w:pPr>
            <w:r w:rsidRPr="00A275BC">
              <w:rPr>
                <w:rFonts w:eastAsia="Calibri"/>
                <w:szCs w:val="26"/>
              </w:rPr>
              <w:t>1</w:t>
            </w:r>
          </w:p>
          <w:p w:rsidR="00C43470" w:rsidRPr="00A275BC" w:rsidP="564B20B7" w14:paraId="769030E7" w14:textId="77777777">
            <w:pPr>
              <w:jc w:val="right"/>
              <w:rPr>
                <w:rFonts w:eastAsia="Calibri"/>
                <w:szCs w:val="26"/>
              </w:rPr>
            </w:pPr>
          </w:p>
        </w:tc>
        <w:tc>
          <w:tcPr>
            <w:tcW w:w="746" w:type="pct"/>
          </w:tcPr>
          <w:p w:rsidR="00C43470" w:rsidRPr="00A275BC" w:rsidP="564B20B7" w14:paraId="14B0FD6A" w14:textId="77777777">
            <w:pPr>
              <w:jc w:val="right"/>
              <w:rPr>
                <w:rFonts w:eastAsia="Calibri"/>
                <w:szCs w:val="26"/>
              </w:rPr>
            </w:pPr>
            <w:r w:rsidRPr="00A275BC">
              <w:rPr>
                <w:rFonts w:eastAsia="Calibri"/>
                <w:szCs w:val="26"/>
              </w:rPr>
              <w:t>1</w:t>
            </w:r>
          </w:p>
        </w:tc>
        <w:tc>
          <w:tcPr>
            <w:tcW w:w="703" w:type="pct"/>
          </w:tcPr>
          <w:p w:rsidR="00C43470" w:rsidRPr="00A275BC" w:rsidP="564B20B7" w14:paraId="64F689C5" w14:textId="77777777">
            <w:pPr>
              <w:jc w:val="right"/>
              <w:rPr>
                <w:rFonts w:eastAsia="Calibri"/>
                <w:szCs w:val="26"/>
              </w:rPr>
            </w:pPr>
            <w:r w:rsidRPr="00A275BC">
              <w:rPr>
                <w:rFonts w:eastAsia="Calibri"/>
                <w:szCs w:val="26"/>
              </w:rPr>
              <w:t>1</w:t>
            </w:r>
          </w:p>
        </w:tc>
        <w:tc>
          <w:tcPr>
            <w:tcW w:w="654" w:type="pct"/>
          </w:tcPr>
          <w:p w:rsidR="00C43470" w:rsidRPr="00A275BC" w:rsidP="564B20B7" w14:paraId="61104898" w14:textId="77777777">
            <w:pPr>
              <w:jc w:val="right"/>
              <w:rPr>
                <w:rFonts w:eastAsia="Calibri"/>
                <w:szCs w:val="26"/>
              </w:rPr>
            </w:pPr>
            <w:r w:rsidRPr="00A275BC">
              <w:rPr>
                <w:rFonts w:eastAsia="Calibri"/>
                <w:szCs w:val="26"/>
              </w:rPr>
              <w:t xml:space="preserve">240 </w:t>
            </w:r>
            <w:r w:rsidRPr="00A275BC">
              <w:rPr>
                <w:rFonts w:eastAsia="Calibri"/>
                <w:szCs w:val="26"/>
              </w:rPr>
              <w:t>hrs.;</w:t>
            </w:r>
          </w:p>
          <w:p w:rsidR="00C43470" w:rsidRPr="00A275BC" w:rsidP="564B20B7" w14:paraId="48BDDCFD" w14:textId="3E372191">
            <w:pPr>
              <w:jc w:val="right"/>
              <w:rPr>
                <w:rFonts w:eastAsia="Calibri"/>
                <w:szCs w:val="26"/>
              </w:rPr>
            </w:pPr>
            <w:r w:rsidRPr="00A275BC">
              <w:rPr>
                <w:rFonts w:eastAsia="Calibri"/>
                <w:szCs w:val="26"/>
              </w:rPr>
              <w:t>$</w:t>
            </w:r>
            <w:r w:rsidRPr="00A275BC" w:rsidR="33E5B081">
              <w:rPr>
                <w:rFonts w:eastAsia="Calibri"/>
                <w:szCs w:val="26"/>
              </w:rPr>
              <w:t>2</w:t>
            </w:r>
            <w:r w:rsidRPr="00A275BC" w:rsidR="78AE35E0">
              <w:rPr>
                <w:rFonts w:eastAsia="Calibri"/>
                <w:szCs w:val="26"/>
              </w:rPr>
              <w:t>4,720</w:t>
            </w:r>
          </w:p>
        </w:tc>
        <w:tc>
          <w:tcPr>
            <w:tcW w:w="657" w:type="pct"/>
          </w:tcPr>
          <w:p w:rsidR="00C43470" w:rsidRPr="00A275BC" w:rsidP="564B20B7" w14:paraId="36D3B3B9" w14:textId="77777777">
            <w:pPr>
              <w:jc w:val="right"/>
              <w:rPr>
                <w:rFonts w:eastAsia="Calibri"/>
                <w:szCs w:val="26"/>
              </w:rPr>
            </w:pPr>
            <w:r w:rsidRPr="00A275BC">
              <w:rPr>
                <w:rFonts w:eastAsia="Calibri"/>
                <w:szCs w:val="26"/>
              </w:rPr>
              <w:t xml:space="preserve"> 240 </w:t>
            </w:r>
            <w:r w:rsidRPr="00A275BC">
              <w:rPr>
                <w:rFonts w:eastAsia="Calibri"/>
                <w:szCs w:val="26"/>
              </w:rPr>
              <w:t>hrs.;</w:t>
            </w:r>
          </w:p>
          <w:p w:rsidR="00C43470" w:rsidRPr="00A275BC" w:rsidP="564B20B7" w14:paraId="72A28391" w14:textId="07203B1D">
            <w:pPr>
              <w:jc w:val="right"/>
              <w:rPr>
                <w:rFonts w:eastAsia="Calibri"/>
                <w:szCs w:val="26"/>
              </w:rPr>
            </w:pPr>
            <w:r w:rsidRPr="00A275BC">
              <w:rPr>
                <w:rFonts w:eastAsia="Calibri"/>
                <w:szCs w:val="26"/>
              </w:rPr>
              <w:t>$24,720</w:t>
            </w:r>
            <w:r w:rsidRPr="00A275BC">
              <w:rPr>
                <w:rFonts w:eastAsia="Calibri"/>
                <w:szCs w:val="26"/>
              </w:rPr>
              <w:t xml:space="preserve"> </w:t>
            </w:r>
          </w:p>
        </w:tc>
        <w:tc>
          <w:tcPr>
            <w:tcW w:w="616" w:type="pct"/>
          </w:tcPr>
          <w:p w:rsidR="00C43470" w:rsidRPr="00A275BC" w:rsidP="564B20B7" w14:paraId="5F9E36D4" w14:textId="0A394119">
            <w:pPr>
              <w:jc w:val="right"/>
              <w:rPr>
                <w:rFonts w:eastAsia="Calibri"/>
                <w:szCs w:val="26"/>
              </w:rPr>
            </w:pPr>
            <w:r w:rsidRPr="00A275BC">
              <w:rPr>
                <w:rFonts w:eastAsia="Calibri"/>
                <w:szCs w:val="26"/>
              </w:rPr>
              <w:t>$24,720</w:t>
            </w:r>
            <w:r w:rsidRPr="00A275BC">
              <w:rPr>
                <w:rFonts w:eastAsia="Calibri"/>
                <w:szCs w:val="26"/>
              </w:rPr>
              <w:t xml:space="preserve"> </w:t>
            </w:r>
          </w:p>
          <w:p w:rsidR="00C43470" w:rsidRPr="00A275BC" w:rsidP="564B20B7" w14:paraId="53AA453F" w14:textId="77777777">
            <w:pPr>
              <w:jc w:val="right"/>
              <w:rPr>
                <w:rFonts w:eastAsia="Calibri"/>
                <w:szCs w:val="26"/>
              </w:rPr>
            </w:pPr>
          </w:p>
        </w:tc>
      </w:tr>
    </w:tbl>
    <w:p w:rsidR="00CA4ACE" w:rsidRPr="00A275BC" w:rsidP="00CA4ACE" w14:paraId="60879C85" w14:textId="77777777">
      <w:pPr>
        <w:autoSpaceDE w:val="0"/>
        <w:autoSpaceDN w:val="0"/>
        <w:adjustRightInd w:val="0"/>
        <w:spacing w:line="480" w:lineRule="auto"/>
        <w:rPr>
          <w:i/>
          <w:iCs/>
          <w:szCs w:val="26"/>
        </w:rPr>
      </w:pPr>
    </w:p>
    <w:p w:rsidR="00AE1F12" w:rsidRPr="00A275BC" w:rsidP="00CA4ACE" w14:paraId="23EE29AC" w14:textId="4EBDC050">
      <w:pPr>
        <w:autoSpaceDE w:val="0"/>
        <w:autoSpaceDN w:val="0"/>
        <w:adjustRightInd w:val="0"/>
        <w:spacing w:line="480" w:lineRule="auto"/>
        <w:rPr>
          <w:szCs w:val="26"/>
        </w:rPr>
      </w:pPr>
      <w:r w:rsidRPr="00A275BC">
        <w:rPr>
          <w:i/>
          <w:iCs/>
          <w:szCs w:val="26"/>
        </w:rPr>
        <w:t>Comments:</w:t>
      </w:r>
      <w:r w:rsidRPr="00A275BC" w:rsidR="7E6AC690">
        <w:rPr>
          <w:i/>
          <w:iCs/>
          <w:szCs w:val="26"/>
        </w:rPr>
        <w:t xml:space="preserve"> </w:t>
      </w:r>
      <w:r w:rsidRPr="00A275BC">
        <w:rPr>
          <w:szCs w:val="26"/>
        </w:rPr>
        <w:t>Comments are invited on:</w:t>
      </w:r>
      <w:r w:rsidRPr="00A275BC" w:rsidR="7E6AC690">
        <w:rPr>
          <w:szCs w:val="26"/>
        </w:rPr>
        <w:t xml:space="preserve"> </w:t>
      </w:r>
      <w:r w:rsidRPr="00A275BC">
        <w:rPr>
          <w:szCs w:val="26"/>
        </w:rPr>
        <w:t xml:space="preserve">(1)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r w:rsidRPr="00A275BC">
        <w:rPr>
          <w:szCs w:val="26"/>
        </w:rPr>
        <w:t>collection of information on those who are to respond, including the use of automated collection techniques or other forms of information technology.</w:t>
      </w:r>
      <w:r w:rsidRPr="00A275BC" w:rsidR="7E6AC690">
        <w:rPr>
          <w:szCs w:val="26"/>
        </w:rPr>
        <w:t xml:space="preserve"> </w:t>
      </w:r>
    </w:p>
    <w:p w:rsidR="00AE1F12" w:rsidRPr="00A275BC" w:rsidP="564B20B7" w14:paraId="02C177FD" w14:textId="77777777">
      <w:pPr>
        <w:rPr>
          <w:szCs w:val="26"/>
        </w:rPr>
      </w:pPr>
    </w:p>
    <w:p w:rsidR="00AE1F12" w:rsidRPr="00A275BC" w:rsidP="564B20B7" w14:paraId="5324E9D8" w14:textId="77777777">
      <w:pPr>
        <w:rPr>
          <w:szCs w:val="26"/>
        </w:rPr>
      </w:pPr>
    </w:p>
    <w:p w:rsidR="00AE1F12" w:rsidRPr="00A275BC" w:rsidP="564B20B7" w14:paraId="4A2BE181" w14:textId="17142BEE">
      <w:pPr>
        <w:ind w:firstLine="2174"/>
        <w:jc w:val="center"/>
        <w:rPr>
          <w:szCs w:val="26"/>
        </w:rPr>
      </w:pPr>
      <w:r w:rsidRPr="00A275BC">
        <w:rPr>
          <w:color w:val="000000" w:themeColor="text1"/>
          <w:szCs w:val="26"/>
        </w:rPr>
        <w:t>Debbie-Anne A. Reese,</w:t>
      </w:r>
    </w:p>
    <w:p w:rsidR="00AE1F12" w:rsidRPr="00A275BC" w:rsidP="564B20B7" w14:paraId="10770123" w14:textId="77777777">
      <w:pPr>
        <w:ind w:firstLine="2174"/>
        <w:jc w:val="center"/>
        <w:rPr>
          <w:szCs w:val="26"/>
        </w:rPr>
      </w:pPr>
      <w:r w:rsidRPr="00A275BC">
        <w:rPr>
          <w:szCs w:val="26"/>
        </w:rPr>
        <w:t>Secretary.</w:t>
      </w:r>
    </w:p>
    <w:p w:rsidR="00853ABC" w:rsidRPr="00A275BC" w:rsidP="564B20B7" w14:paraId="212DCDEF" w14:textId="77777777">
      <w:pPr>
        <w:spacing w:after="160" w:line="259" w:lineRule="auto"/>
        <w:rPr>
          <w:szCs w:val="26"/>
        </w:rPr>
      </w:pPr>
    </w:p>
    <w:sectPr w:rsidSect="00BF2D74">
      <w:head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C3F5E" w:rsidP="00B01B16" w14:paraId="35FA6890" w14:textId="77777777">
      <w:r>
        <w:separator/>
      </w:r>
    </w:p>
  </w:footnote>
  <w:footnote w:type="continuationSeparator" w:id="1">
    <w:p w:rsidR="003C3F5E" w:rsidP="00B01B16" w14:paraId="6BDEE13E" w14:textId="77777777">
      <w:r>
        <w:continuationSeparator/>
      </w:r>
    </w:p>
  </w:footnote>
  <w:footnote w:type="continuationNotice" w:id="2">
    <w:p w:rsidR="003C3F5E" w14:paraId="5B87BCB4" w14:textId="77777777"/>
  </w:footnote>
  <w:footnote w:id="3">
    <w:p w:rsidR="00AC35B0" w:rsidRPr="00A275BC" w14:paraId="1AA7BCE8" w14:textId="43956ED6">
      <w:pPr>
        <w:pStyle w:val="FootnoteText"/>
        <w:rPr>
          <w:sz w:val="26"/>
          <w:szCs w:val="26"/>
        </w:rPr>
      </w:pPr>
      <w:r w:rsidRPr="00A275BC">
        <w:rPr>
          <w:rStyle w:val="FootnoteReference"/>
        </w:rPr>
        <w:footnoteRef/>
      </w:r>
      <w:r w:rsidRPr="00A275BC">
        <w:rPr>
          <w:sz w:val="26"/>
          <w:szCs w:val="26"/>
        </w:rPr>
        <w:t xml:space="preserve"> 15 USC 717f-w</w:t>
      </w:r>
    </w:p>
  </w:footnote>
  <w:footnote w:id="4">
    <w:p w:rsidR="001F00EE" w:rsidRPr="00A275BC" w14:paraId="20396CA5" w14:textId="75C53102">
      <w:pPr>
        <w:pStyle w:val="FootnoteText"/>
        <w:rPr>
          <w:sz w:val="26"/>
          <w:szCs w:val="26"/>
        </w:rPr>
      </w:pPr>
      <w:r w:rsidRPr="00A275BC">
        <w:rPr>
          <w:rStyle w:val="FootnoteReference"/>
        </w:rPr>
        <w:footnoteRef/>
      </w:r>
      <w:r w:rsidRPr="00A275BC">
        <w:rPr>
          <w:sz w:val="26"/>
          <w:szCs w:val="26"/>
        </w:rPr>
        <w:t xml:space="preserve"> 18 CFR </w:t>
      </w:r>
      <w:r w:rsidRPr="00A275BC" w:rsidR="002B576F">
        <w:rPr>
          <w:sz w:val="26"/>
          <w:szCs w:val="26"/>
        </w:rPr>
        <w:t xml:space="preserve">Part </w:t>
      </w:r>
      <w:r w:rsidRPr="00A275BC">
        <w:rPr>
          <w:sz w:val="26"/>
          <w:szCs w:val="26"/>
        </w:rPr>
        <w:t>156</w:t>
      </w:r>
      <w:r w:rsidRPr="00A275BC" w:rsidR="002B576F">
        <w:rPr>
          <w:sz w:val="26"/>
          <w:szCs w:val="26"/>
        </w:rPr>
        <w:t xml:space="preserve"> (2005)</w:t>
      </w:r>
    </w:p>
  </w:footnote>
  <w:footnote w:id="5">
    <w:p w:rsidR="00C43470" w:rsidRPr="00A275BC" w:rsidP="00C43470" w14:paraId="640A53D1" w14:textId="406D6DA5">
      <w:pPr>
        <w:pStyle w:val="FootnoteText"/>
        <w:rPr>
          <w:sz w:val="26"/>
          <w:szCs w:val="26"/>
        </w:rPr>
      </w:pPr>
      <w:r w:rsidRPr="00A275BC">
        <w:rPr>
          <w:rStyle w:val="FootnoteReference"/>
        </w:rPr>
        <w:footnoteRef/>
      </w:r>
      <w:r w:rsidRPr="00A275BC" w:rsidR="564B20B7">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reference 5 </w:t>
      </w:r>
      <w:r w:rsidRPr="00A275BC" w:rsidR="002B576F">
        <w:rPr>
          <w:sz w:val="26"/>
          <w:szCs w:val="26"/>
        </w:rPr>
        <w:t>CFR</w:t>
      </w:r>
      <w:r w:rsidRPr="00A275BC" w:rsidR="564B20B7">
        <w:rPr>
          <w:sz w:val="26"/>
          <w:szCs w:val="26"/>
        </w:rPr>
        <w:t xml:space="preserve"> 1320.3.</w:t>
      </w:r>
    </w:p>
  </w:footnote>
  <w:footnote w:id="6">
    <w:p w:rsidR="00C43470" w:rsidRPr="005F1E72" w:rsidP="564B20B7" w14:paraId="7B3E6545" w14:textId="4114389F">
      <w:pPr>
        <w:pStyle w:val="FootnoteText"/>
        <w:rPr>
          <w:sz w:val="20"/>
        </w:rPr>
      </w:pPr>
      <w:r w:rsidRPr="00A275BC">
        <w:rPr>
          <w:rStyle w:val="FootnoteReference"/>
        </w:rPr>
        <w:footnoteRef/>
      </w:r>
      <w:r w:rsidRPr="00A275BC" w:rsidR="564B20B7">
        <w:rPr>
          <w:sz w:val="26"/>
          <w:szCs w:val="26"/>
        </w:rPr>
        <w:t xml:space="preserve"> </w:t>
      </w:r>
      <w:r w:rsidRPr="00A275BC" w:rsidR="564B20B7">
        <w:rPr>
          <w:color w:val="000000" w:themeColor="text1"/>
          <w:sz w:val="26"/>
          <w:szCs w:val="26"/>
        </w:rPr>
        <w:t xml:space="preserve">Commission staff estimates that the industry’s hourly cost for wages plus benefits is </w:t>
      </w:r>
      <w:r w:rsidRPr="00A275BC" w:rsidR="564B20B7">
        <w:rPr>
          <w:color w:val="000000" w:themeColor="text1"/>
          <w:sz w:val="26"/>
          <w:szCs w:val="26"/>
        </w:rPr>
        <w:t>similar to</w:t>
      </w:r>
      <w:r w:rsidRPr="00A275BC" w:rsidR="564B20B7">
        <w:rPr>
          <w:color w:val="000000" w:themeColor="text1"/>
          <w:sz w:val="26"/>
          <w:szCs w:val="26"/>
        </w:rPr>
        <w:t xml:space="preserve"> the Commission’s $103 FY 2025 average hourly cost for wages and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7451640"/>
      <w:docPartObj>
        <w:docPartGallery w:val="Page Numbers (Top of Page)"/>
        <w:docPartUnique/>
      </w:docPartObj>
    </w:sdtPr>
    <w:sdtEndPr>
      <w:rPr>
        <w:noProof/>
      </w:rPr>
    </w:sdtEndPr>
    <w:sdtContent>
      <w:p w:rsidR="00C80D25" w14:paraId="13B0CC0F" w14:textId="51FE3C6D">
        <w:pPr>
          <w:pStyle w:val="Header"/>
        </w:pPr>
        <w:r>
          <w:t xml:space="preserve">Docket No. </w:t>
        </w:r>
        <w:r w:rsidRPr="564B20B7">
          <w:rPr>
            <w:color w:val="000000" w:themeColor="text1"/>
            <w:sz w:val="24"/>
          </w:rPr>
          <w:t>IC26-8-000</w:t>
        </w:r>
        <w:r>
          <w:tab/>
        </w:r>
        <w:r w:rsidRPr="564B20B7">
          <w:rPr>
            <w:noProof/>
          </w:rPr>
          <w:fldChar w:fldCharType="begin"/>
        </w:r>
        <w:r>
          <w:instrText xml:space="preserve"> PAGE   \* MERGEFORMAT </w:instrText>
        </w:r>
        <w:r w:rsidRPr="564B20B7">
          <w:fldChar w:fldCharType="separate"/>
        </w:r>
        <w:r w:rsidRPr="564B20B7">
          <w:rPr>
            <w:noProof/>
          </w:rPr>
          <w:t>4</w:t>
        </w:r>
        <w:r w:rsidRPr="564B20B7">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B729CA"/>
    <w:multiLevelType w:val="hybridMultilevel"/>
    <w:tmpl w:val="D3366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9">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16cid:durableId="598105622">
    <w:abstractNumId w:val="4"/>
  </w:num>
  <w:num w:numId="2" w16cid:durableId="855310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978757">
    <w:abstractNumId w:val="5"/>
  </w:num>
  <w:num w:numId="4" w16cid:durableId="1580942529">
    <w:abstractNumId w:val="10"/>
  </w:num>
  <w:num w:numId="5" w16cid:durableId="1365210411">
    <w:abstractNumId w:val="7"/>
  </w:num>
  <w:num w:numId="6" w16cid:durableId="353190955">
    <w:abstractNumId w:val="15"/>
  </w:num>
  <w:num w:numId="7" w16cid:durableId="837157236">
    <w:abstractNumId w:val="2"/>
  </w:num>
  <w:num w:numId="8" w16cid:durableId="1726685674">
    <w:abstractNumId w:val="11"/>
  </w:num>
  <w:num w:numId="9" w16cid:durableId="1556627149">
    <w:abstractNumId w:val="1"/>
  </w:num>
  <w:num w:numId="10" w16cid:durableId="1077094363">
    <w:abstractNumId w:val="9"/>
  </w:num>
  <w:num w:numId="11" w16cid:durableId="336886713">
    <w:abstractNumId w:val="14"/>
  </w:num>
  <w:num w:numId="12" w16cid:durableId="1021471991">
    <w:abstractNumId w:val="3"/>
  </w:num>
  <w:num w:numId="13" w16cid:durableId="896359104">
    <w:abstractNumId w:val="12"/>
  </w:num>
  <w:num w:numId="14" w16cid:durableId="71049192">
    <w:abstractNumId w:val="0"/>
  </w:num>
  <w:num w:numId="15" w16cid:durableId="796804200">
    <w:abstractNumId w:val="13"/>
  </w:num>
  <w:num w:numId="16" w16cid:durableId="1572423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C5E3A"/>
    <w:rsid w:val="000D2970"/>
    <w:rsid w:val="000D318C"/>
    <w:rsid w:val="000D6969"/>
    <w:rsid w:val="000E1256"/>
    <w:rsid w:val="000E2568"/>
    <w:rsid w:val="000E4C61"/>
    <w:rsid w:val="000F23F7"/>
    <w:rsid w:val="000F3BC3"/>
    <w:rsid w:val="000F606E"/>
    <w:rsid w:val="00102B99"/>
    <w:rsid w:val="00112B6B"/>
    <w:rsid w:val="00116326"/>
    <w:rsid w:val="00117A32"/>
    <w:rsid w:val="00125991"/>
    <w:rsid w:val="001309CE"/>
    <w:rsid w:val="0013255C"/>
    <w:rsid w:val="00135FC5"/>
    <w:rsid w:val="00137823"/>
    <w:rsid w:val="00150CBC"/>
    <w:rsid w:val="0015445B"/>
    <w:rsid w:val="00156BBB"/>
    <w:rsid w:val="001600DF"/>
    <w:rsid w:val="00164215"/>
    <w:rsid w:val="0017164F"/>
    <w:rsid w:val="00171725"/>
    <w:rsid w:val="00176042"/>
    <w:rsid w:val="0017684C"/>
    <w:rsid w:val="00177704"/>
    <w:rsid w:val="00180A41"/>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00EE"/>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B576F"/>
    <w:rsid w:val="002B5874"/>
    <w:rsid w:val="002C2C8B"/>
    <w:rsid w:val="002C3223"/>
    <w:rsid w:val="002C3579"/>
    <w:rsid w:val="002C5E0E"/>
    <w:rsid w:val="002D17E5"/>
    <w:rsid w:val="002D57E8"/>
    <w:rsid w:val="002E06A0"/>
    <w:rsid w:val="002E1C29"/>
    <w:rsid w:val="002E68D4"/>
    <w:rsid w:val="002E6DAA"/>
    <w:rsid w:val="002E7818"/>
    <w:rsid w:val="002F1BDD"/>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C3F5E"/>
    <w:rsid w:val="003D0BB4"/>
    <w:rsid w:val="003D28D2"/>
    <w:rsid w:val="003D361D"/>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1908"/>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1E72"/>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72790"/>
    <w:rsid w:val="00672802"/>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B71AB"/>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1F24"/>
    <w:rsid w:val="00853ABC"/>
    <w:rsid w:val="00863E08"/>
    <w:rsid w:val="00871D53"/>
    <w:rsid w:val="00871DCE"/>
    <w:rsid w:val="008731E7"/>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04DA"/>
    <w:rsid w:val="009112D0"/>
    <w:rsid w:val="00920472"/>
    <w:rsid w:val="009330C3"/>
    <w:rsid w:val="00940C0F"/>
    <w:rsid w:val="00944E3A"/>
    <w:rsid w:val="00951DA7"/>
    <w:rsid w:val="00951DC3"/>
    <w:rsid w:val="0095548F"/>
    <w:rsid w:val="00957820"/>
    <w:rsid w:val="00962486"/>
    <w:rsid w:val="009744C8"/>
    <w:rsid w:val="00974530"/>
    <w:rsid w:val="00974659"/>
    <w:rsid w:val="00976F19"/>
    <w:rsid w:val="00980E58"/>
    <w:rsid w:val="009815BD"/>
    <w:rsid w:val="00981886"/>
    <w:rsid w:val="00990102"/>
    <w:rsid w:val="00990FEC"/>
    <w:rsid w:val="00992257"/>
    <w:rsid w:val="009928CD"/>
    <w:rsid w:val="009949AA"/>
    <w:rsid w:val="00995921"/>
    <w:rsid w:val="009A1B08"/>
    <w:rsid w:val="009B0524"/>
    <w:rsid w:val="009B166F"/>
    <w:rsid w:val="009B3667"/>
    <w:rsid w:val="009C3CB9"/>
    <w:rsid w:val="009C4A13"/>
    <w:rsid w:val="009C745D"/>
    <w:rsid w:val="009D50C1"/>
    <w:rsid w:val="009E2D84"/>
    <w:rsid w:val="009E74BF"/>
    <w:rsid w:val="009F279E"/>
    <w:rsid w:val="009F7DE3"/>
    <w:rsid w:val="00A00123"/>
    <w:rsid w:val="00A04C8E"/>
    <w:rsid w:val="00A07154"/>
    <w:rsid w:val="00A11868"/>
    <w:rsid w:val="00A127D3"/>
    <w:rsid w:val="00A1386C"/>
    <w:rsid w:val="00A13A0C"/>
    <w:rsid w:val="00A14335"/>
    <w:rsid w:val="00A14B43"/>
    <w:rsid w:val="00A166E7"/>
    <w:rsid w:val="00A178B0"/>
    <w:rsid w:val="00A23612"/>
    <w:rsid w:val="00A2604E"/>
    <w:rsid w:val="00A275BC"/>
    <w:rsid w:val="00A27C67"/>
    <w:rsid w:val="00A3286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C0504"/>
    <w:rsid w:val="00AC1DB7"/>
    <w:rsid w:val="00AC35B0"/>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5F6"/>
    <w:rsid w:val="00BE3971"/>
    <w:rsid w:val="00BE3FE7"/>
    <w:rsid w:val="00BE6EDF"/>
    <w:rsid w:val="00BE774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A20"/>
    <w:rsid w:val="00C30DED"/>
    <w:rsid w:val="00C367A6"/>
    <w:rsid w:val="00C37BFF"/>
    <w:rsid w:val="00C42500"/>
    <w:rsid w:val="00C4347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4ACE"/>
    <w:rsid w:val="00CA6636"/>
    <w:rsid w:val="00CA6D76"/>
    <w:rsid w:val="00CA7FBE"/>
    <w:rsid w:val="00CB51CC"/>
    <w:rsid w:val="00CC0389"/>
    <w:rsid w:val="00CC1A72"/>
    <w:rsid w:val="00CC3633"/>
    <w:rsid w:val="00CC5692"/>
    <w:rsid w:val="00CC65F3"/>
    <w:rsid w:val="00CD078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2D5"/>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4627E"/>
    <w:rsid w:val="00E56612"/>
    <w:rsid w:val="00E71CC0"/>
    <w:rsid w:val="00E731AE"/>
    <w:rsid w:val="00E74310"/>
    <w:rsid w:val="00E762BB"/>
    <w:rsid w:val="00E865C8"/>
    <w:rsid w:val="00E8661B"/>
    <w:rsid w:val="00E9084E"/>
    <w:rsid w:val="00E962E6"/>
    <w:rsid w:val="00E97D7C"/>
    <w:rsid w:val="00EA1793"/>
    <w:rsid w:val="00EA689F"/>
    <w:rsid w:val="00EB5157"/>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1559"/>
    <w:rsid w:val="00F540BA"/>
    <w:rsid w:val="00F5592E"/>
    <w:rsid w:val="00F570C8"/>
    <w:rsid w:val="00F570F0"/>
    <w:rsid w:val="00F60E60"/>
    <w:rsid w:val="00F64069"/>
    <w:rsid w:val="00F64D6D"/>
    <w:rsid w:val="00F654D4"/>
    <w:rsid w:val="00F66182"/>
    <w:rsid w:val="00F71399"/>
    <w:rsid w:val="00F82EE1"/>
    <w:rsid w:val="00F90F38"/>
    <w:rsid w:val="00F93134"/>
    <w:rsid w:val="00FA3E17"/>
    <w:rsid w:val="00FB078F"/>
    <w:rsid w:val="00FB3586"/>
    <w:rsid w:val="00FB6146"/>
    <w:rsid w:val="00FC128B"/>
    <w:rsid w:val="00FC3F00"/>
    <w:rsid w:val="00FC750D"/>
    <w:rsid w:val="00FD0EA3"/>
    <w:rsid w:val="00FD2C4C"/>
    <w:rsid w:val="00FE34E4"/>
    <w:rsid w:val="00FF1D71"/>
    <w:rsid w:val="00FF5141"/>
    <w:rsid w:val="00FF74B3"/>
    <w:rsid w:val="048E23EB"/>
    <w:rsid w:val="04EF47E3"/>
    <w:rsid w:val="05932898"/>
    <w:rsid w:val="083CC425"/>
    <w:rsid w:val="0864BC17"/>
    <w:rsid w:val="0A377C70"/>
    <w:rsid w:val="113D10C9"/>
    <w:rsid w:val="141D17CA"/>
    <w:rsid w:val="155C4338"/>
    <w:rsid w:val="231750C2"/>
    <w:rsid w:val="270156D4"/>
    <w:rsid w:val="27E3A206"/>
    <w:rsid w:val="297D0705"/>
    <w:rsid w:val="2FF6BDEF"/>
    <w:rsid w:val="3120B4F3"/>
    <w:rsid w:val="33E5B081"/>
    <w:rsid w:val="3B47AEC2"/>
    <w:rsid w:val="3B4F9A27"/>
    <w:rsid w:val="42E9CA74"/>
    <w:rsid w:val="54D452B6"/>
    <w:rsid w:val="564B20B7"/>
    <w:rsid w:val="58B16439"/>
    <w:rsid w:val="5DA92E41"/>
    <w:rsid w:val="5F35F1A2"/>
    <w:rsid w:val="603CBA4D"/>
    <w:rsid w:val="605BFC12"/>
    <w:rsid w:val="60BFCADE"/>
    <w:rsid w:val="639AE30C"/>
    <w:rsid w:val="6D02A833"/>
    <w:rsid w:val="6EC93C95"/>
    <w:rsid w:val="6F3ACF46"/>
    <w:rsid w:val="78AE35E0"/>
    <w:rsid w:val="7E6AC6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2"/>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C3B71-34CD-4766-8FFA-B947954D3389}">
  <ds:schemaRefs>
    <ds:schemaRef ds:uri="Microsoft.SharePoint.Taxonomy.ContentTypeSync"/>
  </ds:schemaRefs>
</ds:datastoreItem>
</file>

<file path=customXml/itemProps2.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9</TotalTime>
  <Pages>4</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2016-12-20T13:40:00Z</cp:lastPrinted>
  <dcterms:created xsi:type="dcterms:W3CDTF">2022-06-23T19:28:00Z</dcterms:created>
  <dcterms:modified xsi:type="dcterms:W3CDTF">2026-01-20T16:12:00Z</dcterms:modified>
</cp:coreProperties>
</file>