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03F58" w14:paraId="513EE419" w14:textId="77777777">
      <w:pPr>
        <w:ind w:left="30"/>
        <w:rPr>
          <w:rFonts w:ascii="Times New Roman"/>
          <w:sz w:val="20"/>
        </w:rPr>
      </w:pPr>
      <w:r>
        <w:rPr>
          <w:rFonts w:ascii="Times New Roman"/>
          <w:noProof/>
          <w:sz w:val="20"/>
        </w:rPr>
        <w:drawing>
          <wp:inline distT="0" distB="0" distL="0" distR="0">
            <wp:extent cx="2213391" cy="586454"/>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7" cstate="print"/>
                    <a:stretch>
                      <a:fillRect/>
                    </a:stretch>
                  </pic:blipFill>
                  <pic:spPr>
                    <a:xfrm>
                      <a:off x="0" y="0"/>
                      <a:ext cx="2213391" cy="586454"/>
                    </a:xfrm>
                    <a:prstGeom prst="rect">
                      <a:avLst/>
                    </a:prstGeom>
                  </pic:spPr>
                </pic:pic>
              </a:graphicData>
            </a:graphic>
          </wp:inline>
        </w:drawing>
      </w:r>
    </w:p>
    <w:p w:rsidR="00C03F58" w14:paraId="513EE41A" w14:textId="77777777">
      <w:pPr>
        <w:spacing w:before="211" w:line="266" w:lineRule="auto"/>
        <w:ind w:right="4245"/>
        <w:rPr>
          <w:rFonts w:ascii="Lucida Sans Unicode" w:hAnsi="Lucida Sans Unicode"/>
          <w:sz w:val="19"/>
        </w:rPr>
      </w:pPr>
      <w:r>
        <w:rPr>
          <w:rFonts w:ascii="Lucida Sans Unicode" w:hAnsi="Lucida Sans Unicode"/>
          <w:color w:val="1F1F1F"/>
          <w:spacing w:val="-4"/>
          <w:sz w:val="19"/>
        </w:rPr>
        <w:t>1930</w:t>
      </w:r>
      <w:r>
        <w:rPr>
          <w:rFonts w:ascii="Lucida Sans Unicode" w:hAnsi="Lucida Sans Unicode"/>
          <w:color w:val="1F1F1F"/>
          <w:spacing w:val="-12"/>
          <w:sz w:val="19"/>
        </w:rPr>
        <w:t xml:space="preserve"> </w:t>
      </w:r>
      <w:r>
        <w:rPr>
          <w:rFonts w:ascii="Lucida Sans Unicode" w:hAnsi="Lucida Sans Unicode"/>
          <w:color w:val="1F1F1F"/>
          <w:spacing w:val="-4"/>
          <w:sz w:val="19"/>
        </w:rPr>
        <w:t>18th</w:t>
      </w:r>
      <w:r>
        <w:rPr>
          <w:rFonts w:ascii="Lucida Sans Unicode" w:hAnsi="Lucida Sans Unicode"/>
          <w:color w:val="1F1F1F"/>
          <w:spacing w:val="-11"/>
          <w:sz w:val="19"/>
        </w:rPr>
        <w:t xml:space="preserve"> </w:t>
      </w:r>
      <w:r>
        <w:rPr>
          <w:rFonts w:ascii="Lucida Sans Unicode" w:hAnsi="Lucida Sans Unicode"/>
          <w:color w:val="1F1F1F"/>
          <w:spacing w:val="-4"/>
          <w:sz w:val="19"/>
        </w:rPr>
        <w:t>St</w:t>
      </w:r>
      <w:r>
        <w:rPr>
          <w:rFonts w:ascii="Lucida Sans Unicode" w:hAnsi="Lucida Sans Unicode"/>
          <w:color w:val="1F1F1F"/>
          <w:spacing w:val="-11"/>
          <w:sz w:val="19"/>
        </w:rPr>
        <w:t xml:space="preserve"> </w:t>
      </w:r>
      <w:r>
        <w:rPr>
          <w:rFonts w:ascii="Lucida Sans Unicode" w:hAnsi="Lucida Sans Unicode"/>
          <w:color w:val="1F1F1F"/>
          <w:spacing w:val="-4"/>
          <w:sz w:val="19"/>
        </w:rPr>
        <w:t>NW,</w:t>
      </w:r>
      <w:r>
        <w:rPr>
          <w:rFonts w:ascii="Lucida Sans Unicode" w:hAnsi="Lucida Sans Unicode"/>
          <w:color w:val="1F1F1F"/>
          <w:spacing w:val="-11"/>
          <w:sz w:val="19"/>
        </w:rPr>
        <w:t xml:space="preserve"> </w:t>
      </w:r>
      <w:r>
        <w:rPr>
          <w:rFonts w:ascii="Lucida Sans Unicode" w:hAnsi="Lucida Sans Unicode"/>
          <w:color w:val="1F1F1F"/>
          <w:spacing w:val="-4"/>
          <w:sz w:val="19"/>
        </w:rPr>
        <w:t>Suite</w:t>
      </w:r>
      <w:r>
        <w:rPr>
          <w:rFonts w:ascii="Lucida Sans Unicode" w:hAnsi="Lucida Sans Unicode"/>
          <w:color w:val="1F1F1F"/>
          <w:spacing w:val="-11"/>
          <w:sz w:val="19"/>
        </w:rPr>
        <w:t xml:space="preserve"> </w:t>
      </w:r>
      <w:r>
        <w:rPr>
          <w:rFonts w:ascii="Lucida Sans Unicode" w:hAnsi="Lucida Sans Unicode"/>
          <w:color w:val="1F1F1F"/>
          <w:spacing w:val="-4"/>
          <w:sz w:val="19"/>
        </w:rPr>
        <w:t>B2-2468</w:t>
      </w:r>
      <w:r>
        <w:rPr>
          <w:rFonts w:ascii="Lucida Sans Unicode" w:hAnsi="Lucida Sans Unicode"/>
          <w:color w:val="1F1F1F"/>
          <w:spacing w:val="-11"/>
          <w:sz w:val="19"/>
        </w:rPr>
        <w:t xml:space="preserve"> </w:t>
      </w:r>
      <w:r>
        <w:rPr>
          <w:rFonts w:ascii="Arial Black" w:hAnsi="Arial Black"/>
          <w:color w:val="205C60"/>
          <w:spacing w:val="-4"/>
          <w:sz w:val="19"/>
        </w:rPr>
        <w:t>•</w:t>
      </w:r>
      <w:r>
        <w:rPr>
          <w:rFonts w:ascii="Arial Black" w:hAnsi="Arial Black"/>
          <w:color w:val="205C60"/>
          <w:spacing w:val="-12"/>
          <w:sz w:val="19"/>
        </w:rPr>
        <w:t xml:space="preserve"> </w:t>
      </w:r>
      <w:r>
        <w:rPr>
          <w:rFonts w:ascii="Lucida Sans Unicode" w:hAnsi="Lucida Sans Unicode"/>
          <w:color w:val="1F1F1F"/>
          <w:spacing w:val="-4"/>
          <w:sz w:val="19"/>
        </w:rPr>
        <w:t>Washington,</w:t>
      </w:r>
      <w:r>
        <w:rPr>
          <w:rFonts w:ascii="Lucida Sans Unicode" w:hAnsi="Lucida Sans Unicode"/>
          <w:color w:val="1F1F1F"/>
          <w:spacing w:val="-11"/>
          <w:sz w:val="19"/>
        </w:rPr>
        <w:t xml:space="preserve"> </w:t>
      </w:r>
      <w:r>
        <w:rPr>
          <w:rFonts w:ascii="Lucida Sans Unicode" w:hAnsi="Lucida Sans Unicode"/>
          <w:color w:val="1F1F1F"/>
          <w:spacing w:val="-4"/>
          <w:sz w:val="19"/>
        </w:rPr>
        <w:t>DC</w:t>
      </w:r>
      <w:r>
        <w:rPr>
          <w:rFonts w:ascii="Lucida Sans Unicode" w:hAnsi="Lucida Sans Unicode"/>
          <w:color w:val="1F1F1F"/>
          <w:spacing w:val="-11"/>
          <w:sz w:val="19"/>
        </w:rPr>
        <w:t xml:space="preserve"> </w:t>
      </w:r>
      <w:r>
        <w:rPr>
          <w:rFonts w:ascii="Lucida Sans Unicode" w:hAnsi="Lucida Sans Unicode"/>
          <w:color w:val="1F1F1F"/>
          <w:spacing w:val="-4"/>
          <w:sz w:val="19"/>
        </w:rPr>
        <w:t xml:space="preserve">20009 </w:t>
      </w:r>
      <w:hyperlink r:id="rId8">
        <w:r>
          <w:rPr>
            <w:rFonts w:ascii="Lucida Sans Unicode" w:hAnsi="Lucida Sans Unicode"/>
            <w:sz w:val="19"/>
          </w:rPr>
          <w:t>opened.org</w:t>
        </w:r>
      </w:hyperlink>
      <w:r>
        <w:rPr>
          <w:rFonts w:ascii="Lucida Sans Unicode" w:hAnsi="Lucida Sans Unicode"/>
          <w:sz w:val="19"/>
        </w:rPr>
        <w:t xml:space="preserve"> </w:t>
      </w:r>
      <w:r>
        <w:rPr>
          <w:rFonts w:ascii="Arial Black" w:hAnsi="Arial Black"/>
          <w:color w:val="205C60"/>
          <w:sz w:val="19"/>
        </w:rPr>
        <w:t xml:space="preserve">• </w:t>
      </w:r>
      <w:r>
        <w:rPr>
          <w:rFonts w:ascii="Lucida Sans Unicode" w:hAnsi="Lucida Sans Unicode"/>
          <w:sz w:val="19"/>
        </w:rPr>
        <w:t xml:space="preserve">(202) 750-1637 </w:t>
      </w:r>
      <w:r>
        <w:rPr>
          <w:rFonts w:ascii="Arial Black" w:hAnsi="Arial Black"/>
          <w:color w:val="205C60"/>
          <w:sz w:val="19"/>
        </w:rPr>
        <w:t xml:space="preserve">• </w:t>
      </w:r>
      <w:hyperlink r:id="rId9">
        <w:r>
          <w:rPr>
            <w:rFonts w:ascii="Lucida Sans Unicode" w:hAnsi="Lucida Sans Unicode"/>
            <w:sz w:val="19"/>
          </w:rPr>
          <w:t>contact@opened.org</w:t>
        </w:r>
      </w:hyperlink>
    </w:p>
    <w:p w:rsidR="00C03F58" w14:paraId="513EE41B" w14:textId="77777777">
      <w:pPr>
        <w:pStyle w:val="BodyText"/>
        <w:spacing w:before="12"/>
        <w:rPr>
          <w:rFonts w:ascii="Lucida Sans Unicode"/>
          <w:sz w:val="19"/>
        </w:rPr>
      </w:pPr>
    </w:p>
    <w:p w:rsidR="00C03F58" w14:paraId="513EE41C" w14:textId="77777777">
      <w:pPr>
        <w:pStyle w:val="BodyText"/>
        <w:spacing w:before="0"/>
      </w:pPr>
      <w:r>
        <w:rPr>
          <w:spacing w:val="-2"/>
          <w:w w:val="110"/>
        </w:rPr>
        <w:t>April</w:t>
      </w:r>
      <w:r>
        <w:rPr>
          <w:spacing w:val="-14"/>
          <w:w w:val="110"/>
        </w:rPr>
        <w:t xml:space="preserve"> </w:t>
      </w:r>
      <w:r>
        <w:rPr>
          <w:spacing w:val="-2"/>
          <w:w w:val="110"/>
        </w:rPr>
        <w:t>24,</w:t>
      </w:r>
      <w:r>
        <w:rPr>
          <w:spacing w:val="-14"/>
          <w:w w:val="110"/>
        </w:rPr>
        <w:t xml:space="preserve"> </w:t>
      </w:r>
      <w:r>
        <w:rPr>
          <w:spacing w:val="-4"/>
          <w:w w:val="110"/>
        </w:rPr>
        <w:t>2026</w:t>
      </w:r>
    </w:p>
    <w:p w:rsidR="00C03F58" w14:paraId="513EE41D" w14:textId="77777777">
      <w:pPr>
        <w:pStyle w:val="BodyText"/>
        <w:spacing w:before="15"/>
      </w:pPr>
    </w:p>
    <w:p w:rsidR="00C03F58" w14:paraId="513EE41E" w14:textId="77777777">
      <w:pPr>
        <w:spacing w:line="276" w:lineRule="auto"/>
        <w:ind w:right="4245"/>
        <w:rPr>
          <w:b/>
        </w:rPr>
      </w:pPr>
      <w:r>
        <w:rPr>
          <w:b/>
          <w:w w:val="90"/>
        </w:rPr>
        <w:t xml:space="preserve">Comment on Docket ID </w:t>
      </w:r>
      <w:hyperlink r:id="rId10">
        <w:r>
          <w:rPr>
            <w:b/>
            <w:w w:val="90"/>
          </w:rPr>
          <w:t>ED2026SCC0298</w:t>
        </w:r>
      </w:hyperlink>
      <w:r>
        <w:rPr>
          <w:b/>
          <w:w w:val="90"/>
        </w:rPr>
        <w:t xml:space="preserve"> </w:t>
      </w:r>
      <w:r>
        <w:rPr>
          <w:b/>
        </w:rPr>
        <w:t>Submitted via Regulations.gov</w:t>
      </w:r>
    </w:p>
    <w:p w:rsidR="00C03F58" w14:paraId="513EE41F" w14:textId="77777777">
      <w:pPr>
        <w:pStyle w:val="BodyText"/>
        <w:spacing w:line="276" w:lineRule="auto"/>
      </w:pPr>
      <w:r>
        <w:rPr>
          <w:w w:val="105"/>
        </w:rPr>
        <w:t>The Open Education Association submits this comment in response to the Department of Education's</w:t>
      </w:r>
      <w:r>
        <w:rPr>
          <w:spacing w:val="31"/>
          <w:w w:val="105"/>
        </w:rPr>
        <w:t xml:space="preserve"> </w:t>
      </w:r>
      <w:r>
        <w:rPr>
          <w:w w:val="105"/>
        </w:rPr>
        <w:t>request</w:t>
      </w:r>
      <w:r>
        <w:rPr>
          <w:spacing w:val="31"/>
          <w:w w:val="105"/>
        </w:rPr>
        <w:t xml:space="preserve"> </w:t>
      </w:r>
      <w:r>
        <w:rPr>
          <w:w w:val="105"/>
        </w:rPr>
        <w:t>for</w:t>
      </w:r>
      <w:r>
        <w:rPr>
          <w:spacing w:val="31"/>
          <w:w w:val="105"/>
        </w:rPr>
        <w:t xml:space="preserve"> </w:t>
      </w:r>
      <w:r>
        <w:rPr>
          <w:w w:val="105"/>
        </w:rPr>
        <w:t>public</w:t>
      </w:r>
      <w:r>
        <w:rPr>
          <w:spacing w:val="31"/>
          <w:w w:val="105"/>
        </w:rPr>
        <w:t xml:space="preserve"> </w:t>
      </w:r>
      <w:r>
        <w:rPr>
          <w:w w:val="105"/>
        </w:rPr>
        <w:t>comment</w:t>
      </w:r>
      <w:r>
        <w:rPr>
          <w:spacing w:val="31"/>
          <w:w w:val="105"/>
        </w:rPr>
        <w:t xml:space="preserve"> </w:t>
      </w:r>
      <w:r>
        <w:rPr>
          <w:w w:val="105"/>
        </w:rPr>
        <w:t>on</w:t>
      </w:r>
      <w:r>
        <w:rPr>
          <w:spacing w:val="30"/>
          <w:w w:val="105"/>
        </w:rPr>
        <w:t xml:space="preserve"> </w:t>
      </w:r>
      <w:r>
        <w:rPr>
          <w:w w:val="105"/>
        </w:rPr>
        <w:t>the</w:t>
      </w:r>
      <w:r>
        <w:rPr>
          <w:spacing w:val="31"/>
          <w:w w:val="105"/>
        </w:rPr>
        <w:t xml:space="preserve"> </w:t>
      </w:r>
      <w:r>
        <w:rPr>
          <w:w w:val="105"/>
        </w:rPr>
        <w:t>Cash</w:t>
      </w:r>
      <w:r>
        <w:rPr>
          <w:spacing w:val="30"/>
          <w:w w:val="105"/>
        </w:rPr>
        <w:t xml:space="preserve"> </w:t>
      </w:r>
      <w:r>
        <w:rPr>
          <w:w w:val="105"/>
        </w:rPr>
        <w:t>Management</w:t>
      </w:r>
      <w:r>
        <w:rPr>
          <w:spacing w:val="31"/>
          <w:w w:val="105"/>
        </w:rPr>
        <w:t xml:space="preserve"> </w:t>
      </w:r>
      <w:r>
        <w:rPr>
          <w:w w:val="105"/>
        </w:rPr>
        <w:t>Contract</w:t>
      </w:r>
      <w:r>
        <w:rPr>
          <w:spacing w:val="31"/>
          <w:w w:val="105"/>
        </w:rPr>
        <w:t xml:space="preserve"> </w:t>
      </w:r>
      <w:r>
        <w:rPr>
          <w:w w:val="105"/>
        </w:rPr>
        <w:t xml:space="preserve">URL </w:t>
      </w:r>
      <w:r>
        <w:rPr>
          <w:spacing w:val="-2"/>
          <w:w w:val="105"/>
        </w:rPr>
        <w:t>Collection</w:t>
      </w:r>
      <w:r>
        <w:rPr>
          <w:spacing w:val="-16"/>
          <w:w w:val="105"/>
        </w:rPr>
        <w:t xml:space="preserve"> </w:t>
      </w:r>
      <w:r>
        <w:rPr>
          <w:spacing w:val="-2"/>
          <w:w w:val="105"/>
        </w:rPr>
        <w:t>under</w:t>
      </w:r>
      <w:r>
        <w:rPr>
          <w:spacing w:val="-15"/>
          <w:w w:val="105"/>
        </w:rPr>
        <w:t xml:space="preserve"> </w:t>
      </w:r>
      <w:r>
        <w:rPr>
          <w:spacing w:val="-2"/>
          <w:w w:val="105"/>
        </w:rPr>
        <w:t>34</w:t>
      </w:r>
      <w:r>
        <w:rPr>
          <w:spacing w:val="-16"/>
          <w:w w:val="105"/>
        </w:rPr>
        <w:t xml:space="preserve"> </w:t>
      </w:r>
      <w:r>
        <w:rPr>
          <w:spacing w:val="-2"/>
          <w:w w:val="105"/>
        </w:rPr>
        <w:t>CFR</w:t>
      </w:r>
      <w:r>
        <w:rPr>
          <w:spacing w:val="-16"/>
          <w:w w:val="105"/>
        </w:rPr>
        <w:t xml:space="preserve"> </w:t>
      </w:r>
      <w:r>
        <w:rPr>
          <w:spacing w:val="-2"/>
          <w:w w:val="105"/>
        </w:rPr>
        <w:t>§</w:t>
      </w:r>
      <w:r>
        <w:rPr>
          <w:spacing w:val="-15"/>
          <w:w w:val="105"/>
        </w:rPr>
        <w:t xml:space="preserve"> </w:t>
      </w:r>
      <w:r>
        <w:rPr>
          <w:spacing w:val="-2"/>
          <w:w w:val="105"/>
        </w:rPr>
        <w:t>668.164</w:t>
      </w:r>
      <w:r>
        <w:rPr>
          <w:spacing w:val="-16"/>
          <w:w w:val="105"/>
        </w:rPr>
        <w:t xml:space="preserve"> </w:t>
      </w:r>
      <w:r>
        <w:rPr>
          <w:spacing w:val="-2"/>
          <w:w w:val="105"/>
        </w:rPr>
        <w:t>OMB</w:t>
      </w:r>
      <w:r>
        <w:rPr>
          <w:spacing w:val="-16"/>
          <w:w w:val="105"/>
        </w:rPr>
        <w:t xml:space="preserve"> </w:t>
      </w:r>
      <w:r>
        <w:rPr>
          <w:spacing w:val="-2"/>
          <w:w w:val="105"/>
        </w:rPr>
        <w:t>Control</w:t>
      </w:r>
      <w:r>
        <w:rPr>
          <w:spacing w:val="-15"/>
          <w:w w:val="105"/>
        </w:rPr>
        <w:t xml:space="preserve"> </w:t>
      </w:r>
      <w:r>
        <w:rPr>
          <w:spacing w:val="-2"/>
          <w:w w:val="105"/>
        </w:rPr>
        <w:t>No.</w:t>
      </w:r>
      <w:r>
        <w:rPr>
          <w:spacing w:val="-15"/>
          <w:w w:val="105"/>
        </w:rPr>
        <w:t xml:space="preserve"> </w:t>
      </w:r>
      <w:r>
        <w:rPr>
          <w:spacing w:val="-2"/>
          <w:w w:val="105"/>
        </w:rPr>
        <w:t>18450147.</w:t>
      </w:r>
    </w:p>
    <w:p w:rsidR="00C03F58" w14:paraId="513EE420" w14:textId="77777777">
      <w:pPr>
        <w:pStyle w:val="BodyText"/>
        <w:spacing w:line="276" w:lineRule="auto"/>
      </w:pPr>
      <w:r>
        <w:rPr>
          <w:w w:val="110"/>
        </w:rPr>
        <w:t>The</w:t>
      </w:r>
      <w:r>
        <w:rPr>
          <w:spacing w:val="-16"/>
          <w:w w:val="110"/>
        </w:rPr>
        <w:t xml:space="preserve"> </w:t>
      </w:r>
      <w:r>
        <w:rPr>
          <w:w w:val="110"/>
        </w:rPr>
        <w:t>Open</w:t>
      </w:r>
      <w:r>
        <w:rPr>
          <w:spacing w:val="-16"/>
          <w:w w:val="110"/>
        </w:rPr>
        <w:t xml:space="preserve"> </w:t>
      </w:r>
      <w:r>
        <w:rPr>
          <w:w w:val="110"/>
        </w:rPr>
        <w:t>Education</w:t>
      </w:r>
      <w:r>
        <w:rPr>
          <w:spacing w:val="-16"/>
          <w:w w:val="110"/>
        </w:rPr>
        <w:t xml:space="preserve"> </w:t>
      </w:r>
      <w:r>
        <w:rPr>
          <w:w w:val="110"/>
        </w:rPr>
        <w:t>Association</w:t>
      </w:r>
      <w:r>
        <w:rPr>
          <w:spacing w:val="-16"/>
          <w:w w:val="110"/>
        </w:rPr>
        <w:t xml:space="preserve"> </w:t>
      </w:r>
      <w:r>
        <w:rPr>
          <w:w w:val="110"/>
        </w:rPr>
        <w:t>is</w:t>
      </w:r>
      <w:r>
        <w:rPr>
          <w:spacing w:val="-15"/>
          <w:w w:val="110"/>
        </w:rPr>
        <w:t xml:space="preserve"> </w:t>
      </w:r>
      <w:r>
        <w:rPr>
          <w:w w:val="110"/>
        </w:rPr>
        <w:t>a</w:t>
      </w:r>
      <w:r>
        <w:rPr>
          <w:spacing w:val="-15"/>
          <w:w w:val="110"/>
        </w:rPr>
        <w:t xml:space="preserve"> </w:t>
      </w:r>
      <w:r>
        <w:rPr>
          <w:w w:val="110"/>
        </w:rPr>
        <w:t>national</w:t>
      </w:r>
      <w:r>
        <w:rPr>
          <w:spacing w:val="-15"/>
          <w:w w:val="110"/>
        </w:rPr>
        <w:t xml:space="preserve"> </w:t>
      </w:r>
      <w:r>
        <w:rPr>
          <w:w w:val="110"/>
        </w:rPr>
        <w:t>membership</w:t>
      </w:r>
      <w:r>
        <w:rPr>
          <w:spacing w:val="-16"/>
          <w:w w:val="110"/>
        </w:rPr>
        <w:t xml:space="preserve"> </w:t>
      </w:r>
      <w:r>
        <w:rPr>
          <w:w w:val="110"/>
        </w:rPr>
        <w:t>organization</w:t>
      </w:r>
      <w:r>
        <w:rPr>
          <w:spacing w:val="-16"/>
          <w:w w:val="110"/>
        </w:rPr>
        <w:t xml:space="preserve"> </w:t>
      </w:r>
      <w:r>
        <w:rPr>
          <w:w w:val="110"/>
        </w:rPr>
        <w:t>that</w:t>
      </w:r>
      <w:r>
        <w:rPr>
          <w:spacing w:val="-15"/>
          <w:w w:val="110"/>
        </w:rPr>
        <w:t xml:space="preserve"> </w:t>
      </w:r>
      <w:r>
        <w:rPr>
          <w:w w:val="110"/>
        </w:rPr>
        <w:t>works</w:t>
      </w:r>
      <w:r>
        <w:rPr>
          <w:spacing w:val="-15"/>
          <w:w w:val="110"/>
        </w:rPr>
        <w:t xml:space="preserve"> </w:t>
      </w:r>
      <w:r>
        <w:rPr>
          <w:w w:val="110"/>
        </w:rPr>
        <w:t>to expand</w:t>
      </w:r>
      <w:r>
        <w:rPr>
          <w:spacing w:val="-19"/>
          <w:w w:val="110"/>
        </w:rPr>
        <w:t xml:space="preserve"> </w:t>
      </w:r>
      <w:r>
        <w:rPr>
          <w:w w:val="110"/>
        </w:rPr>
        <w:t>the</w:t>
      </w:r>
      <w:r>
        <w:rPr>
          <w:spacing w:val="-19"/>
          <w:w w:val="110"/>
        </w:rPr>
        <w:t xml:space="preserve"> </w:t>
      </w:r>
      <w:r>
        <w:rPr>
          <w:w w:val="110"/>
        </w:rPr>
        <w:t>use</w:t>
      </w:r>
      <w:r>
        <w:rPr>
          <w:spacing w:val="-19"/>
          <w:w w:val="110"/>
        </w:rPr>
        <w:t xml:space="preserve"> </w:t>
      </w:r>
      <w:r>
        <w:rPr>
          <w:w w:val="110"/>
        </w:rPr>
        <w:t>of</w:t>
      </w:r>
      <w:r>
        <w:rPr>
          <w:spacing w:val="-19"/>
          <w:w w:val="110"/>
        </w:rPr>
        <w:t xml:space="preserve"> </w:t>
      </w:r>
      <w:r>
        <w:rPr>
          <w:w w:val="110"/>
        </w:rPr>
        <w:t>openly</w:t>
      </w:r>
      <w:r>
        <w:rPr>
          <w:spacing w:val="-19"/>
          <w:w w:val="110"/>
        </w:rPr>
        <w:t xml:space="preserve"> </w:t>
      </w:r>
      <w:r>
        <w:rPr>
          <w:w w:val="110"/>
        </w:rPr>
        <w:t>licensed</w:t>
      </w:r>
      <w:r>
        <w:rPr>
          <w:spacing w:val="-19"/>
          <w:w w:val="110"/>
        </w:rPr>
        <w:t xml:space="preserve"> </w:t>
      </w:r>
      <w:r>
        <w:rPr>
          <w:w w:val="110"/>
        </w:rPr>
        <w:t>educational</w:t>
      </w:r>
      <w:r>
        <w:rPr>
          <w:spacing w:val="-19"/>
          <w:w w:val="110"/>
        </w:rPr>
        <w:t xml:space="preserve"> </w:t>
      </w:r>
      <w:r>
        <w:rPr>
          <w:w w:val="110"/>
        </w:rPr>
        <w:t>materials</w:t>
      </w:r>
      <w:r>
        <w:rPr>
          <w:spacing w:val="-19"/>
          <w:w w:val="110"/>
        </w:rPr>
        <w:t xml:space="preserve"> </w:t>
      </w:r>
      <w:r>
        <w:rPr>
          <w:w w:val="110"/>
        </w:rPr>
        <w:t>and</w:t>
      </w:r>
      <w:r>
        <w:rPr>
          <w:spacing w:val="-19"/>
          <w:w w:val="110"/>
        </w:rPr>
        <w:t xml:space="preserve"> </w:t>
      </w:r>
      <w:r>
        <w:rPr>
          <w:w w:val="110"/>
        </w:rPr>
        <w:t>practices</w:t>
      </w:r>
      <w:r>
        <w:rPr>
          <w:spacing w:val="-19"/>
          <w:w w:val="110"/>
        </w:rPr>
        <w:t xml:space="preserve"> </w:t>
      </w:r>
      <w:r>
        <w:rPr>
          <w:w w:val="110"/>
        </w:rPr>
        <w:t>across</w:t>
      </w:r>
      <w:r>
        <w:rPr>
          <w:spacing w:val="-18"/>
          <w:w w:val="110"/>
        </w:rPr>
        <w:t xml:space="preserve"> </w:t>
      </w:r>
      <w:r>
        <w:rPr>
          <w:w w:val="110"/>
        </w:rPr>
        <w:t>U.S.</w:t>
      </w:r>
      <w:r>
        <w:rPr>
          <w:spacing w:val="-19"/>
          <w:w w:val="110"/>
        </w:rPr>
        <w:t xml:space="preserve"> </w:t>
      </w:r>
      <w:r>
        <w:rPr>
          <w:w w:val="110"/>
        </w:rPr>
        <w:t xml:space="preserve">higher </w:t>
      </w:r>
      <w:r>
        <w:rPr>
          <w:spacing w:val="-2"/>
          <w:w w:val="110"/>
        </w:rPr>
        <w:t>education.</w:t>
      </w:r>
    </w:p>
    <w:p w:rsidR="00C03F58" w14:paraId="513EE421" w14:textId="77777777">
      <w:pPr>
        <w:pStyle w:val="BodyText"/>
        <w:spacing w:line="276" w:lineRule="auto"/>
        <w:ind w:right="91"/>
      </w:pPr>
      <w:r>
        <w:rPr>
          <w:w w:val="105"/>
        </w:rPr>
        <w:t>As the Department evaluates the utility of this collection (question 4, we offer a related transparency gap for its consideration. The rationale for the collection of contract URLs under § 668.164(e) and (f) is that it helps ensure accountability and encourages practices that serve students. The same rationale supports disclosure of the third-party arrangements allowed under subsection (c) for books and supplies.</w:t>
      </w:r>
    </w:p>
    <w:p w:rsidR="00C03F58" w14:paraId="513EE422" w14:textId="77777777">
      <w:pPr>
        <w:pStyle w:val="BodyText"/>
        <w:spacing w:before="244" w:line="276" w:lineRule="auto"/>
      </w:pPr>
      <w:r>
        <w:rPr>
          <w:w w:val="105"/>
        </w:rPr>
        <w:t xml:space="preserve">Section 668.164(c)(2)(i) permits institutions to automatically bill students for books and supplies as part of tuition and fees, provided the institution has “an arrangement with a book publisher or other entity that enables it to make those books or supplies available to students below competitive market </w:t>
      </w:r>
      <w:r>
        <w:rPr>
          <w:w w:val="105"/>
        </w:rPr>
        <w:t>rates.ˮ</w:t>
      </w:r>
      <w:r>
        <w:rPr>
          <w:w w:val="105"/>
        </w:rPr>
        <w:t xml:space="preserve"> This provision was intended to protect students from being overcharged.</w:t>
      </w:r>
      <w:r>
        <w:rPr>
          <w:w w:val="105"/>
          <w:vertAlign w:val="superscript"/>
        </w:rPr>
        <w:t>1</w:t>
      </w:r>
    </w:p>
    <w:p w:rsidR="00C03F58" w14:paraId="513EE423" w14:textId="77777777">
      <w:pPr>
        <w:pStyle w:val="BodyText"/>
        <w:spacing w:before="244" w:line="276" w:lineRule="auto"/>
        <w:ind w:right="91"/>
      </w:pPr>
      <w:r>
        <w:rPr>
          <w:w w:val="105"/>
        </w:rPr>
        <w:t>A 2024 analysis by the Student Public Interest Research Groups reviewed 171 automatic textbook billing contracts from 92 public institutions and found that in many cases savings are difficult to evaluate and some contracts may provide no savings at all.</w:t>
      </w:r>
      <w:r>
        <w:rPr>
          <w:w w:val="105"/>
          <w:vertAlign w:val="superscript"/>
        </w:rPr>
        <w:t>2</w:t>
      </w:r>
      <w:r>
        <w:rPr>
          <w:w w:val="105"/>
        </w:rPr>
        <w:t xml:space="preserve"> It also found that some arrangements charge students a per-credit-hour fee regardless of the cost of</w:t>
      </w:r>
      <w:r>
        <w:rPr>
          <w:spacing w:val="80"/>
          <w:w w:val="105"/>
        </w:rPr>
        <w:t xml:space="preserve"> </w:t>
      </w:r>
      <w:r>
        <w:rPr>
          <w:w w:val="105"/>
        </w:rPr>
        <w:t>the</w:t>
      </w:r>
      <w:r>
        <w:rPr>
          <w:spacing w:val="23"/>
          <w:w w:val="105"/>
        </w:rPr>
        <w:t xml:space="preserve"> </w:t>
      </w:r>
      <w:r>
        <w:rPr>
          <w:w w:val="105"/>
        </w:rPr>
        <w:t>studentʼs</w:t>
      </w:r>
      <w:r>
        <w:rPr>
          <w:spacing w:val="24"/>
          <w:w w:val="105"/>
        </w:rPr>
        <w:t xml:space="preserve"> </w:t>
      </w:r>
      <w:r>
        <w:rPr>
          <w:w w:val="105"/>
        </w:rPr>
        <w:t>actual</w:t>
      </w:r>
      <w:r>
        <w:rPr>
          <w:spacing w:val="24"/>
          <w:w w:val="105"/>
        </w:rPr>
        <w:t xml:space="preserve"> </w:t>
      </w:r>
      <w:r>
        <w:rPr>
          <w:w w:val="105"/>
        </w:rPr>
        <w:t>materials,</w:t>
      </w:r>
      <w:r>
        <w:rPr>
          <w:spacing w:val="24"/>
          <w:w w:val="105"/>
        </w:rPr>
        <w:t xml:space="preserve"> </w:t>
      </w:r>
      <w:r>
        <w:rPr>
          <w:w w:val="105"/>
        </w:rPr>
        <w:t>in</w:t>
      </w:r>
      <w:r>
        <w:rPr>
          <w:spacing w:val="23"/>
          <w:w w:val="105"/>
        </w:rPr>
        <w:t xml:space="preserve"> </w:t>
      </w:r>
      <w:r>
        <w:rPr>
          <w:w w:val="105"/>
        </w:rPr>
        <w:t>some</w:t>
      </w:r>
      <w:r>
        <w:rPr>
          <w:spacing w:val="23"/>
          <w:w w:val="105"/>
        </w:rPr>
        <w:t xml:space="preserve"> </w:t>
      </w:r>
      <w:r>
        <w:rPr>
          <w:w w:val="105"/>
        </w:rPr>
        <w:t>cases</w:t>
      </w:r>
      <w:r>
        <w:rPr>
          <w:spacing w:val="24"/>
          <w:w w:val="105"/>
        </w:rPr>
        <w:t xml:space="preserve"> </w:t>
      </w:r>
      <w:r>
        <w:rPr>
          <w:w w:val="105"/>
        </w:rPr>
        <w:t>billing</w:t>
      </w:r>
      <w:r>
        <w:rPr>
          <w:spacing w:val="23"/>
          <w:w w:val="105"/>
        </w:rPr>
        <w:t xml:space="preserve"> </w:t>
      </w:r>
      <w:r>
        <w:rPr>
          <w:w w:val="105"/>
        </w:rPr>
        <w:t>students</w:t>
      </w:r>
      <w:r>
        <w:rPr>
          <w:spacing w:val="24"/>
          <w:w w:val="105"/>
        </w:rPr>
        <w:t xml:space="preserve"> </w:t>
      </w:r>
      <w:r>
        <w:rPr>
          <w:w w:val="105"/>
        </w:rPr>
        <w:t>for</w:t>
      </w:r>
      <w:r>
        <w:rPr>
          <w:spacing w:val="24"/>
          <w:w w:val="105"/>
        </w:rPr>
        <w:t xml:space="preserve"> </w:t>
      </w:r>
      <w:r>
        <w:rPr>
          <w:w w:val="105"/>
        </w:rPr>
        <w:t>openly</w:t>
      </w:r>
      <w:r>
        <w:rPr>
          <w:spacing w:val="24"/>
          <w:w w:val="105"/>
        </w:rPr>
        <w:t xml:space="preserve"> </w:t>
      </w:r>
      <w:r>
        <w:rPr>
          <w:w w:val="105"/>
        </w:rPr>
        <w:t>licensed resources that should be free—or for courses that use no materials at all.</w:t>
      </w:r>
    </w:p>
    <w:p w:rsidR="00C03F58" w14:paraId="513EE424" w14:textId="77777777">
      <w:pPr>
        <w:pStyle w:val="BodyText"/>
        <w:spacing w:before="0"/>
        <w:rPr>
          <w:sz w:val="20"/>
        </w:rPr>
      </w:pPr>
    </w:p>
    <w:p w:rsidR="00C03F58" w14:paraId="513EE425" w14:textId="77777777">
      <w:pPr>
        <w:pStyle w:val="BodyText"/>
        <w:spacing w:before="0"/>
        <w:rPr>
          <w:sz w:val="20"/>
        </w:rPr>
      </w:pPr>
    </w:p>
    <w:p w:rsidR="00C03F58" w14:paraId="513EE426" w14:textId="77777777">
      <w:pPr>
        <w:pStyle w:val="BodyText"/>
        <w:spacing w:before="226"/>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312363</wp:posOffset>
                </wp:positionV>
                <wp:extent cx="1828800" cy="127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270"/>
                        </a:xfrm>
                        <a:custGeom>
                          <a:avLst/>
                          <a:gdLst/>
                          <a:rect l="l" t="t" r="r" b="b"/>
                          <a:pathLst>
                            <a:path fill="norm" w="1828800" stroke="1">
                              <a:moveTo>
                                <a:pt x="0" y="0"/>
                              </a:moveTo>
                              <a:lnTo>
                                <a:pt x="1828800"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2in;height:0.1pt;margin-top:24.6pt;margin-left:1in;mso-position-horizontal-relative:page;mso-wrap-distance-bottom:0;mso-wrap-distance-left:0;mso-wrap-distance-right:0;mso-wrap-distance-top:0;mso-wrap-style:square;position:absolute;visibility:visible;v-text-anchor:top;z-index:-251657216" coordsize="1828800,1270" path="m,l1828800,e" filled="f">
                <v:path arrowok="t"/>
                <w10:wrap type="topAndBottom"/>
              </v:shape>
            </w:pict>
          </mc:Fallback>
        </mc:AlternateContent>
      </w:r>
    </w:p>
    <w:p w:rsidR="00C03F58" w14:paraId="513EE427" w14:textId="77777777">
      <w:pPr>
        <w:spacing w:before="98"/>
        <w:rPr>
          <w:sz w:val="18"/>
        </w:rPr>
      </w:pPr>
      <w:r>
        <w:rPr>
          <w:sz w:val="18"/>
          <w:vertAlign w:val="superscript"/>
        </w:rPr>
        <w:t>1</w:t>
      </w:r>
      <w:r>
        <w:rPr>
          <w:spacing w:val="6"/>
          <w:sz w:val="18"/>
        </w:rPr>
        <w:t xml:space="preserve"> </w:t>
      </w:r>
      <w:hyperlink r:id="rId11">
        <w:r>
          <w:rPr>
            <w:color w:val="1154CC"/>
            <w:sz w:val="18"/>
            <w:u w:val="thick" w:color="1154CC"/>
          </w:rPr>
          <w:t>https://docs.defendstudents.org/peer/202343PEERReturns-Textbooks-</w:t>
        </w:r>
        <w:r>
          <w:rPr>
            <w:color w:val="1154CC"/>
            <w:spacing w:val="-2"/>
            <w:sz w:val="18"/>
            <w:u w:val="thick" w:color="1154CC"/>
          </w:rPr>
          <w:t>FNL.pdf</w:t>
        </w:r>
      </w:hyperlink>
    </w:p>
    <w:p w:rsidR="00C03F58" w14:paraId="513EE428" w14:textId="77777777">
      <w:pPr>
        <w:spacing w:before="1"/>
        <w:rPr>
          <w:sz w:val="18"/>
        </w:rPr>
      </w:pPr>
      <w:r>
        <w:rPr>
          <w:sz w:val="18"/>
          <w:vertAlign w:val="superscript"/>
        </w:rPr>
        <w:t>2</w:t>
      </w:r>
      <w:r>
        <w:rPr>
          <w:spacing w:val="71"/>
          <w:w w:val="150"/>
          <w:sz w:val="18"/>
        </w:rPr>
        <w:t xml:space="preserve">   </w:t>
      </w:r>
      <w:hyperlink r:id="rId12">
        <w:r>
          <w:rPr>
            <w:color w:val="1154CC"/>
            <w:sz w:val="18"/>
            <w:u w:val="thick" w:color="1154CC"/>
          </w:rPr>
          <w:t>https://studentpirgs.org/assets/uploads/2024/06/PIRGAutomatic-Textbook-Billing-June-</w:t>
        </w:r>
        <w:r>
          <w:rPr>
            <w:color w:val="1154CC"/>
            <w:spacing w:val="-2"/>
            <w:sz w:val="18"/>
            <w:u w:val="thick" w:color="1154CC"/>
          </w:rPr>
          <w:t>2024.pdf</w:t>
        </w:r>
      </w:hyperlink>
    </w:p>
    <w:p w:rsidR="00C03F58" w14:paraId="513EE429" w14:textId="77777777">
      <w:pPr>
        <w:rPr>
          <w:sz w:val="18"/>
        </w:rPr>
        <w:sectPr>
          <w:type w:val="continuous"/>
          <w:pgSz w:w="12240" w:h="15840"/>
          <w:pgMar w:top="1700" w:right="1440" w:bottom="280" w:left="1440" w:header="720" w:footer="720" w:gutter="0"/>
          <w:cols w:space="720"/>
        </w:sectPr>
      </w:pPr>
    </w:p>
    <w:p w:rsidR="00C03F58" w14:paraId="513EE42A" w14:textId="77777777">
      <w:pPr>
        <w:pStyle w:val="BodyText"/>
        <w:spacing w:before="73" w:line="276" w:lineRule="auto"/>
        <w:ind w:right="672"/>
        <w:jc w:val="both"/>
      </w:pPr>
      <w:r>
        <w:rPr>
          <w:w w:val="105"/>
        </w:rPr>
        <w:t>Without a systematic disclosure process, neither the Department nor the public can assess whether institutions are charging students unfairly for books and supplies or whether they meet the below-market-rate standard that federal regulations require.</w:t>
      </w:r>
    </w:p>
    <w:p w:rsidR="00C03F58" w14:paraId="513EE42B" w14:textId="77777777">
      <w:pPr>
        <w:pStyle w:val="BodyText"/>
        <w:spacing w:line="276" w:lineRule="auto"/>
        <w:ind w:right="249"/>
        <w:rPr>
          <w:w w:val="105"/>
        </w:rPr>
      </w:pPr>
      <w:r>
        <w:rPr>
          <w:w w:val="105"/>
        </w:rPr>
        <w:t>As the Department reviews this collection with respect to campus banking contracts under § 668.164, we encourage it to consider a similar collection for the automatic textbook billing arrangements allowed under the same section.</w:t>
      </w:r>
    </w:p>
    <w:p w:rsidR="00223D3E" w:rsidRPr="00536845" w14:paraId="68AAB525" w14:textId="175056C9">
      <w:pPr>
        <w:pStyle w:val="BodyText"/>
        <w:spacing w:line="276" w:lineRule="auto"/>
        <w:ind w:right="249"/>
        <w:rPr>
          <w:rFonts w:ascii="Times New Roman" w:hAnsi="Times New Roman" w:cs="Times New Roman"/>
          <w:b/>
          <w:bCs/>
        </w:rPr>
      </w:pPr>
      <w:r w:rsidRPr="00536845">
        <w:rPr>
          <w:rFonts w:ascii="Times New Roman" w:hAnsi="Times New Roman" w:cs="Times New Roman"/>
          <w:b/>
          <w:bCs/>
          <w:w w:val="105"/>
          <w:u w:val="single"/>
        </w:rPr>
        <w:t>FSA Response</w:t>
      </w:r>
      <w:r w:rsidRPr="00536845">
        <w:rPr>
          <w:rFonts w:ascii="Times New Roman" w:hAnsi="Times New Roman" w:cs="Times New Roman"/>
          <w:b/>
          <w:bCs/>
          <w:w w:val="105"/>
        </w:rPr>
        <w:t xml:space="preserve">: We thank the commenter for their </w:t>
      </w:r>
      <w:r w:rsidRPr="00536845" w:rsidR="00536845">
        <w:rPr>
          <w:rFonts w:ascii="Times New Roman" w:hAnsi="Times New Roman" w:cs="Times New Roman"/>
          <w:b/>
          <w:bCs/>
          <w:w w:val="105"/>
        </w:rPr>
        <w:t>comment</w:t>
      </w:r>
      <w:r w:rsidR="0048796B">
        <w:rPr>
          <w:rFonts w:ascii="Times New Roman" w:hAnsi="Times New Roman" w:cs="Times New Roman"/>
          <w:b/>
          <w:bCs/>
          <w:w w:val="105"/>
        </w:rPr>
        <w:t>.</w:t>
      </w:r>
      <w:r w:rsidRPr="00536845" w:rsidR="00536845">
        <w:rPr>
          <w:rFonts w:ascii="Times New Roman" w:hAnsi="Times New Roman" w:cs="Times New Roman"/>
          <w:b/>
          <w:bCs/>
          <w:w w:val="105"/>
        </w:rPr>
        <w:t xml:space="preserve"> </w:t>
      </w:r>
      <w:r w:rsidR="00536845">
        <w:rPr>
          <w:rFonts w:ascii="Times New Roman" w:hAnsi="Times New Roman" w:cs="Times New Roman"/>
          <w:b/>
          <w:bCs/>
          <w:w w:val="105"/>
        </w:rPr>
        <w:t>T</w:t>
      </w:r>
      <w:r w:rsidRPr="00536845" w:rsidR="00536845">
        <w:rPr>
          <w:rFonts w:ascii="Times New Roman" w:hAnsi="Times New Roman" w:cs="Times New Roman"/>
          <w:b/>
          <w:bCs/>
          <w:w w:val="105"/>
        </w:rPr>
        <w:t>his information collection is limited to the requirement</w:t>
      </w:r>
      <w:r w:rsidR="00536845">
        <w:rPr>
          <w:rFonts w:ascii="Times New Roman" w:hAnsi="Times New Roman" w:cs="Times New Roman"/>
          <w:b/>
          <w:bCs/>
          <w:w w:val="105"/>
        </w:rPr>
        <w:t>s</w:t>
      </w:r>
      <w:r w:rsidRPr="00536845" w:rsidR="00536845">
        <w:rPr>
          <w:rFonts w:ascii="Times New Roman" w:hAnsi="Times New Roman" w:cs="Times New Roman"/>
          <w:b/>
          <w:bCs/>
          <w:w w:val="105"/>
        </w:rPr>
        <w:t xml:space="preserve"> under 34 CFR 668.164(e)(2)(viii) and 34 CFR 668.16</w:t>
      </w:r>
      <w:r w:rsidR="0048796B">
        <w:rPr>
          <w:rFonts w:ascii="Times New Roman" w:hAnsi="Times New Roman" w:cs="Times New Roman"/>
          <w:b/>
          <w:bCs/>
          <w:w w:val="105"/>
        </w:rPr>
        <w:t>4</w:t>
      </w:r>
      <w:r w:rsidRPr="00536845" w:rsidR="00536845">
        <w:rPr>
          <w:rFonts w:ascii="Times New Roman" w:hAnsi="Times New Roman" w:cs="Times New Roman"/>
          <w:b/>
          <w:bCs/>
          <w:w w:val="105"/>
        </w:rPr>
        <w:t>(f)(4)(iii)(B) and</w:t>
      </w:r>
      <w:r w:rsidR="00536845">
        <w:rPr>
          <w:rFonts w:ascii="Times New Roman" w:hAnsi="Times New Roman" w:cs="Times New Roman"/>
          <w:b/>
          <w:bCs/>
          <w:w w:val="105"/>
        </w:rPr>
        <w:t xml:space="preserve"> does not encompass arrangements described under 34 CFR 668.164(c)</w:t>
      </w:r>
      <w:r w:rsidR="0048796B">
        <w:rPr>
          <w:rFonts w:ascii="Times New Roman" w:hAnsi="Times New Roman" w:cs="Times New Roman"/>
          <w:b/>
          <w:bCs/>
          <w:w w:val="105"/>
        </w:rPr>
        <w:t>(2)</w:t>
      </w:r>
      <w:r w:rsidR="00536845">
        <w:rPr>
          <w:rFonts w:ascii="Times New Roman" w:hAnsi="Times New Roman" w:cs="Times New Roman"/>
          <w:b/>
          <w:bCs/>
          <w:w w:val="105"/>
        </w:rPr>
        <w:t>. While the Department recognizes the policy considerations raised, expansion of disclosure requirements to arrangements under 34 CFR 668.164(c)</w:t>
      </w:r>
      <w:r w:rsidR="0048796B">
        <w:rPr>
          <w:rFonts w:ascii="Times New Roman" w:hAnsi="Times New Roman" w:cs="Times New Roman"/>
          <w:b/>
          <w:bCs/>
          <w:w w:val="105"/>
        </w:rPr>
        <w:t>(2)</w:t>
      </w:r>
      <w:r w:rsidR="00536845">
        <w:rPr>
          <w:rFonts w:ascii="Times New Roman" w:hAnsi="Times New Roman" w:cs="Times New Roman"/>
          <w:b/>
          <w:bCs/>
          <w:w w:val="105"/>
        </w:rPr>
        <w:t xml:space="preserve"> is outside the scope of this collection.  No change made to the information collection. </w:t>
      </w:r>
      <w:r w:rsidRPr="00536845" w:rsidR="00536845">
        <w:rPr>
          <w:rFonts w:ascii="Times New Roman" w:hAnsi="Times New Roman" w:cs="Times New Roman"/>
          <w:b/>
          <w:bCs/>
          <w:w w:val="105"/>
        </w:rPr>
        <w:t xml:space="preserve"> </w:t>
      </w:r>
    </w:p>
    <w:p w:rsidR="00C03F58" w14:paraId="513EE42C" w14:textId="77777777">
      <w:pPr>
        <w:pStyle w:val="BodyText"/>
        <w:spacing w:line="494" w:lineRule="auto"/>
        <w:ind w:right="4245"/>
      </w:pPr>
      <w:r>
        <w:rPr>
          <w:noProof/>
        </w:rPr>
        <w:drawing>
          <wp:anchor distT="0" distB="0" distL="0" distR="0" simplePos="0" relativeHeight="251660288" behindDoc="1" locked="0" layoutInCell="1" allowOverlap="1">
            <wp:simplePos x="0" y="0"/>
            <wp:positionH relativeFrom="page">
              <wp:posOffset>933450</wp:posOffset>
            </wp:positionH>
            <wp:positionV relativeFrom="paragraph">
              <wp:posOffset>871020</wp:posOffset>
            </wp:positionV>
            <wp:extent cx="1676400" cy="600075"/>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13" cstate="print"/>
                    <a:stretch>
                      <a:fillRect/>
                    </a:stretch>
                  </pic:blipFill>
                  <pic:spPr>
                    <a:xfrm>
                      <a:off x="0" y="0"/>
                      <a:ext cx="1676400" cy="600075"/>
                    </a:xfrm>
                    <a:prstGeom prst="rect">
                      <a:avLst/>
                    </a:prstGeom>
                  </pic:spPr>
                </pic:pic>
              </a:graphicData>
            </a:graphic>
          </wp:anchor>
        </w:drawing>
      </w:r>
      <w:r>
        <w:rPr>
          <w:w w:val="105"/>
        </w:rPr>
        <w:t xml:space="preserve">We appreciate the opportunity to comment. </w:t>
      </w:r>
      <w:r>
        <w:rPr>
          <w:spacing w:val="-2"/>
          <w:w w:val="105"/>
        </w:rPr>
        <w:t>Sincerely,</w:t>
      </w:r>
    </w:p>
    <w:p w:rsidR="00C03F58" w14:paraId="513EE42D" w14:textId="77777777">
      <w:pPr>
        <w:pStyle w:val="BodyText"/>
        <w:spacing w:before="83" w:line="276" w:lineRule="auto"/>
        <w:ind w:right="7531"/>
      </w:pPr>
      <w:r>
        <w:rPr>
          <w:w w:val="110"/>
        </w:rPr>
        <w:t xml:space="preserve">Nicole Allen </w:t>
      </w:r>
      <w:r>
        <w:rPr>
          <w:spacing w:val="-2"/>
          <w:w w:val="110"/>
        </w:rPr>
        <w:t>Board</w:t>
      </w:r>
      <w:r>
        <w:rPr>
          <w:spacing w:val="-17"/>
          <w:w w:val="110"/>
        </w:rPr>
        <w:t xml:space="preserve"> </w:t>
      </w:r>
      <w:r>
        <w:rPr>
          <w:spacing w:val="-2"/>
          <w:w w:val="110"/>
        </w:rPr>
        <w:t>President</w:t>
      </w:r>
    </w:p>
    <w:p w:rsidR="00C03F58" w14:paraId="513EE42E" w14:textId="77777777">
      <w:pPr>
        <w:pStyle w:val="BodyText"/>
        <w:spacing w:before="2"/>
      </w:pPr>
      <w:r>
        <w:t>Open</w:t>
      </w:r>
      <w:r>
        <w:rPr>
          <w:spacing w:val="47"/>
        </w:rPr>
        <w:t xml:space="preserve"> </w:t>
      </w:r>
      <w:r>
        <w:t>Education</w:t>
      </w:r>
      <w:r>
        <w:rPr>
          <w:spacing w:val="48"/>
        </w:rPr>
        <w:t xml:space="preserve"> </w:t>
      </w:r>
      <w:r>
        <w:rPr>
          <w:spacing w:val="-2"/>
        </w:rPr>
        <w:t>Association</w:t>
      </w:r>
    </w:p>
    <w:sectPr>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F58"/>
    <w:rsid w:val="00223D3E"/>
    <w:rsid w:val="0030188F"/>
    <w:rsid w:val="0048796B"/>
    <w:rsid w:val="00536845"/>
    <w:rsid w:val="005E4F03"/>
    <w:rsid w:val="00C03F58"/>
    <w:rsid w:val="00C30713"/>
    <w:rsid w:val="00C32030"/>
    <w:rsid w:val="00F864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3E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188F"/>
    <w:pPr>
      <w:tabs>
        <w:tab w:val="center" w:pos="4680"/>
        <w:tab w:val="right" w:pos="9360"/>
      </w:tabs>
    </w:pPr>
  </w:style>
  <w:style w:type="character" w:customStyle="1" w:styleId="HeaderChar">
    <w:name w:val="Header Char"/>
    <w:basedOn w:val="DefaultParagraphFont"/>
    <w:link w:val="Header"/>
    <w:uiPriority w:val="99"/>
    <w:rsid w:val="0030188F"/>
    <w:rPr>
      <w:rFonts w:ascii="Tahoma" w:eastAsia="Tahoma" w:hAnsi="Tahoma" w:cs="Tahoma"/>
    </w:rPr>
  </w:style>
  <w:style w:type="paragraph" w:styleId="Footer">
    <w:name w:val="footer"/>
    <w:basedOn w:val="Normal"/>
    <w:link w:val="FooterChar"/>
    <w:uiPriority w:val="99"/>
    <w:unhideWhenUsed/>
    <w:rsid w:val="0030188F"/>
    <w:pPr>
      <w:tabs>
        <w:tab w:val="center" w:pos="4680"/>
        <w:tab w:val="right" w:pos="9360"/>
      </w:tabs>
    </w:pPr>
  </w:style>
  <w:style w:type="character" w:customStyle="1" w:styleId="FooterChar">
    <w:name w:val="Footer Char"/>
    <w:basedOn w:val="DefaultParagraphFont"/>
    <w:link w:val="Footer"/>
    <w:uiPriority w:val="99"/>
    <w:rsid w:val="0030188F"/>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6/02/23/2026-03529/agency-information-collection-activities-comment-request-cash-management-contract-url-collection" TargetMode="External" /><Relationship Id="rId11" Type="http://schemas.openxmlformats.org/officeDocument/2006/relationships/hyperlink" Target="https://docs.defendstudents.org/peer/2023-4-3-PEER-Returns-Textbooks-FNL.pdf" TargetMode="External" /><Relationship Id="rId12" Type="http://schemas.openxmlformats.org/officeDocument/2006/relationships/hyperlink" Target="https://studentpirgs.org/assets/uploads/2024/06/PIRG-Automatic-Textbook-Billing-June-2024.pdf" TargetMode="External" /><Relationship Id="rId13" Type="http://schemas.openxmlformats.org/officeDocument/2006/relationships/image" Target="media/image2.png"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opened.org/" TargetMode="External" /><Relationship Id="rId9" Type="http://schemas.openxmlformats.org/officeDocument/2006/relationships/hyperlink" Target="mailto:contact@opened.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92705E87-A056-4B6D-B1BF-FE25159778AF}">
  <ds:schemaRefs/>
</ds:datastoreItem>
</file>

<file path=customXml/itemProps2.xml><?xml version="1.0" encoding="utf-8"?>
<ds:datastoreItem xmlns:ds="http://schemas.openxmlformats.org/officeDocument/2006/customXml" ds:itemID="{A350F9FE-7F74-45C0-8E6C-3CB3FF808447}">
  <ds:schemaRefs/>
</ds:datastoreItem>
</file>

<file path=customXml/itemProps3.xml><?xml version="1.0" encoding="utf-8"?>
<ds:datastoreItem xmlns:ds="http://schemas.openxmlformats.org/officeDocument/2006/customXml" ds:itemID="{ED0A7D83-C637-4125-9469-BF523AF0C3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3097</Characters>
  <Application>Microsoft Office Word</Application>
  <DocSecurity>0</DocSecurity>
  <Lines>88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2026-05-05T12:39:00Z</dcterms:created>
  <dcterms:modified xsi:type="dcterms:W3CDTF">2026-05-05T12:44:00Z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