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43DFB" w:rsidRPr="00CD6788" w:rsidP="00C43DFB" w14:paraId="7041D4BA" w14:textId="77777777">
      <w:pPr>
        <w:jc w:val="center"/>
        <w:rPr>
          <w:rFonts w:ascii="Times New Roman" w:hAnsi="Times New Roman"/>
          <w:b/>
          <w:bCs/>
        </w:rPr>
      </w:pPr>
      <w:r w:rsidRPr="00CD6788">
        <w:rPr>
          <w:rFonts w:ascii="Times New Roman" w:hAnsi="Times New Roman"/>
          <w:b/>
          <w:bCs/>
        </w:rPr>
        <w:t xml:space="preserve">SUPPORTING STATEMENT FOR </w:t>
      </w:r>
    </w:p>
    <w:p w:rsidR="00C43DFB" w:rsidRPr="00CD6788" w:rsidP="00C43DFB" w14:paraId="288ADD41" w14:textId="77777777">
      <w:pPr>
        <w:jc w:val="center"/>
        <w:rPr>
          <w:rFonts w:ascii="Times New Roman" w:hAnsi="Times New Roman"/>
          <w:b/>
          <w:bCs/>
        </w:rPr>
      </w:pPr>
      <w:r w:rsidRPr="00CD6788">
        <w:rPr>
          <w:rFonts w:ascii="Times New Roman" w:hAnsi="Times New Roman"/>
          <w:b/>
          <w:bCs/>
        </w:rPr>
        <w:t>APPLICATION FOR ASYLUM AND FOR WITHHOLDING OF REMOVAL</w:t>
      </w:r>
    </w:p>
    <w:p w:rsidR="00C43DFB" w:rsidRPr="00CD6788" w:rsidP="00C43DFB" w14:paraId="7256DFDA" w14:textId="77777777">
      <w:pPr>
        <w:jc w:val="center"/>
        <w:rPr>
          <w:rFonts w:ascii="Times New Roman" w:hAnsi="Times New Roman"/>
          <w:b/>
          <w:bCs/>
        </w:rPr>
      </w:pPr>
      <w:r w:rsidRPr="00CD6788">
        <w:rPr>
          <w:rFonts w:ascii="Times New Roman" w:hAnsi="Times New Roman"/>
          <w:b/>
          <w:bCs/>
        </w:rPr>
        <w:t>OMB Control No.: 1615-0067</w:t>
      </w:r>
    </w:p>
    <w:p w:rsidR="00C43DFB" w:rsidRPr="00CD6788" w:rsidP="00C43DFB" w14:paraId="09D694DA" w14:textId="77777777">
      <w:pPr>
        <w:jc w:val="center"/>
        <w:rPr>
          <w:rFonts w:ascii="Times New Roman" w:hAnsi="Times New Roman"/>
          <w:b/>
          <w:bCs/>
        </w:rPr>
      </w:pPr>
      <w:r w:rsidRPr="00CD6788">
        <w:rPr>
          <w:rFonts w:ascii="Times New Roman" w:hAnsi="Times New Roman"/>
          <w:b/>
          <w:bCs/>
        </w:rPr>
        <w:t>COLLECTION INSTRUMENT(S): FORM I-589</w:t>
      </w:r>
    </w:p>
    <w:p w:rsidR="00C43DFB" w:rsidP="00C43DFB" w14:paraId="08191CFB" w14:textId="77777777">
      <w:pPr>
        <w:jc w:val="center"/>
        <w:rPr>
          <w:rFonts w:ascii="Times New Roman" w:hAnsi="Times New Roman"/>
          <w:b/>
          <w:bCs/>
        </w:rPr>
      </w:pPr>
      <w:r>
        <w:rPr>
          <w:rFonts w:ascii="Times New Roman" w:hAnsi="Times New Roman"/>
          <w:b/>
          <w:bCs/>
        </w:rPr>
        <w:t xml:space="preserve"> </w:t>
      </w:r>
    </w:p>
    <w:p w:rsidR="00C43DFB" w:rsidRPr="00B7349D" w:rsidP="00C43DFB" w14:paraId="46797BFC" w14:textId="77777777">
      <w:pPr>
        <w:jc w:val="both"/>
        <w:rPr>
          <w:rFonts w:ascii="Times New Roman" w:hAnsi="Times New Roman"/>
        </w:rPr>
      </w:pPr>
    </w:p>
    <w:p w:rsidR="00C43DFB" w:rsidRPr="00B1471A" w:rsidP="00C43DFB" w14:paraId="3D96523B" w14:textId="77777777">
      <w:pPr>
        <w:rPr>
          <w:rFonts w:ascii="Times New Roman" w:hAnsi="Times New Roman"/>
        </w:rPr>
      </w:pPr>
      <w:r w:rsidRPr="00B1471A">
        <w:rPr>
          <w:rFonts w:ascii="Times New Roman" w:hAnsi="Times New Roman"/>
          <w:b/>
          <w:bCs/>
        </w:rPr>
        <w:t>A</w:t>
      </w:r>
      <w:r>
        <w:rPr>
          <w:rFonts w:ascii="Times New Roman" w:hAnsi="Times New Roman"/>
          <w:b/>
          <w:bCs/>
        </w:rPr>
        <w:t xml:space="preserve">. </w:t>
      </w:r>
      <w:r w:rsidRPr="00B1471A">
        <w:rPr>
          <w:rFonts w:ascii="Times New Roman" w:hAnsi="Times New Roman"/>
          <w:b/>
          <w:bCs/>
        </w:rPr>
        <w:t>Justification</w:t>
      </w:r>
    </w:p>
    <w:p w:rsidR="00C43DFB" w:rsidRPr="000B00D2" w:rsidP="00C43DFB" w14:paraId="4ADD798D" w14:textId="77777777">
      <w:pPr>
        <w:rPr>
          <w:rFonts w:ascii="Times New Roman" w:hAnsi="Times New Roman"/>
        </w:rPr>
      </w:pPr>
    </w:p>
    <w:p w:rsidR="00C43DFB" w:rsidRPr="008A4764" w:rsidP="00C43DFB" w14:paraId="2D8CE11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C43DFB" w:rsidRPr="0029577A" w:rsidP="00C43DFB" w14:paraId="10A3815A" w14:textId="77777777">
      <w:pPr>
        <w:tabs>
          <w:tab w:val="left" w:pos="-1440"/>
        </w:tabs>
        <w:ind w:left="720"/>
        <w:rPr>
          <w:rFonts w:ascii="Times New Roman" w:hAnsi="Times New Roman"/>
        </w:rPr>
      </w:pPr>
    </w:p>
    <w:p w:rsidR="00C43DFB" w:rsidP="00C43DFB" w14:paraId="6BA61F4D" w14:textId="77777777">
      <w:pPr>
        <w:tabs>
          <w:tab w:val="left" w:pos="-1440"/>
        </w:tabs>
        <w:ind w:left="720"/>
        <w:rPr>
          <w:rFonts w:ascii="Times New Roman" w:hAnsi="Times New Roman"/>
        </w:rPr>
      </w:pPr>
      <w:r>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 noncitizen applying for asylum and for withholding of removal or deportation in the United States is classifiable as a refugee, and is eligible to remain in the United States.  Section 208(b) of the Immigration and Nationality Act (INA) charges DHS and DOJ with establishing procedures whereby noncitizens may apply for asylum.  Form I-589, Application for Asylum and for Withholding of Asylum, is also used by noncitizens in removal proceedings before EOIR to apply for withholding of removal as provided by section 241(b)(3) of the Immigration and Nationality Act (INA) and for withholding of removal under the regulations implementing the Convention Against Torture as provided by 8 CFR 208.16, 208.17, 208.18, 1208.16, 1208.17, and 1208.18.  Under 8 CFR 208.1, 208.3, 208.4, 1208.1, 1208.3, and 1208.4, Form I-589 is used to standardize the collection of information relevant to asylum and withholding of removal determinations.</w:t>
      </w:r>
    </w:p>
    <w:p w:rsidR="00C43DFB" w:rsidRPr="00D80E94" w:rsidP="00C43DFB" w14:paraId="5F0BC35C" w14:textId="77777777">
      <w:pPr>
        <w:tabs>
          <w:tab w:val="left" w:pos="-1440"/>
        </w:tabs>
        <w:ind w:left="720"/>
        <w:rPr>
          <w:rFonts w:ascii="Times New Roman" w:hAnsi="Times New Roman"/>
        </w:rPr>
      </w:pPr>
    </w:p>
    <w:p w:rsidR="00C43DFB" w:rsidRPr="00914A5D" w:rsidP="00C43DFB" w14:paraId="615279F6"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C43DFB" w:rsidRPr="00914A5D" w:rsidP="00C43DFB" w14:paraId="341DAE88" w14:textId="77777777">
      <w:pPr>
        <w:ind w:left="720"/>
        <w:rPr>
          <w:rFonts w:ascii="Times New Roman" w:hAnsi="Times New Roman"/>
        </w:rPr>
      </w:pPr>
    </w:p>
    <w:p w:rsidR="00C43DFB" w:rsidP="00C43DFB" w14:paraId="71BD5AEA" w14:textId="77777777">
      <w:pPr>
        <w:tabs>
          <w:tab w:val="left" w:pos="-1440"/>
        </w:tabs>
        <w:ind w:left="720"/>
        <w:jc w:val="both"/>
        <w:rPr>
          <w:rFonts w:ascii="Times New Roman" w:hAnsi="Times New Roman"/>
        </w:rPr>
      </w:pPr>
      <w:r>
        <w:rPr>
          <w:rFonts w:ascii="Times New Roman" w:hAnsi="Times New Roman"/>
        </w:rPr>
        <w:t>USCIS and EOIR use the data collected on the Form I-589 to determine eligibility of persons applying for asylum and for withholding of removal.  Under section 208(a)(1) of the Immigration and Nationality Act (INA) and 8 CFR 208.2(a), any noncitizen who is physically present in the United States, or seeking admission at a port of entry, may apply for asylum irrespective of such noncitizen’s status.  In the first instance, USCIS asylum officers adjudicate the asylum applications from individuals who are not subject to expedited removal, or who are not in removal proceedings.  EOIR immigration judges adjudicate asylum applications of individuals in removal proceedings.  The Form I-589 serves the purpose of standardizing the application and ensuring that applicants provide the required information necessary for assessing eligibility.</w:t>
      </w:r>
    </w:p>
    <w:p w:rsidR="00C43DFB" w:rsidP="00C43DFB" w14:paraId="0855B61A" w14:textId="77777777">
      <w:pPr>
        <w:tabs>
          <w:tab w:val="left" w:pos="-1440"/>
        </w:tabs>
        <w:ind w:left="720"/>
        <w:jc w:val="both"/>
        <w:rPr>
          <w:rFonts w:ascii="Times New Roman" w:hAnsi="Times New Roman"/>
        </w:rPr>
      </w:pPr>
    </w:p>
    <w:p w:rsidR="00C43DFB" w:rsidP="00C43DFB" w14:paraId="5B37B6EB" w14:textId="77777777">
      <w:pPr>
        <w:tabs>
          <w:tab w:val="left" w:pos="-1440"/>
        </w:tabs>
        <w:ind w:left="720"/>
        <w:jc w:val="both"/>
        <w:rPr>
          <w:rFonts w:ascii="Times New Roman" w:hAnsi="Times New Roman"/>
        </w:rPr>
      </w:pPr>
      <w:r>
        <w:rPr>
          <w:rFonts w:ascii="Times New Roman" w:hAnsi="Times New Roman"/>
        </w:rPr>
        <w:t xml:space="preserve">USCIS also uses the Form I-589 to serve as an alternate application for evidence of employment authorization for individuals granted asylum, eliminating their need to file a </w:t>
      </w:r>
      <w:r>
        <w:rPr>
          <w:rFonts w:ascii="Times New Roman" w:hAnsi="Times New Roman"/>
        </w:rPr>
        <w:t xml:space="preserve">separate Form I-765, Application for Employment Authorization (OMB No. 1615-0040) 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00C43DFB" w:rsidP="00C43DFB" w14:paraId="03714D69" w14:textId="77777777">
      <w:pPr>
        <w:tabs>
          <w:tab w:val="left" w:pos="-1440"/>
        </w:tabs>
        <w:ind w:left="720" w:hanging="720"/>
        <w:jc w:val="both"/>
        <w:rPr>
          <w:rFonts w:ascii="Times New Roman" w:hAnsi="Times New Roman"/>
        </w:rPr>
      </w:pPr>
    </w:p>
    <w:p w:rsidR="00C43DFB" w:rsidP="00C43DFB" w14:paraId="2CB3682C" w14:textId="77777777">
      <w:pPr>
        <w:ind w:left="720"/>
        <w:rPr>
          <w:rFonts w:ascii="Times New Roman" w:hAnsi="Times New Roman"/>
        </w:rPr>
      </w:pPr>
      <w:r>
        <w:rPr>
          <w:rFonts w:ascii="Times New Roman" w:hAnsi="Times New Roman"/>
        </w:rPr>
        <w:t>Dual use of the Form I-589 also benefits asylees.  They receive USCIS-issued evidence of identity and employment authorization immediately after they obtain notice of a decision to grant asylum, thus enabling them to promptly work and access any public benefits to which they may be entitled.</w:t>
      </w:r>
    </w:p>
    <w:p w:rsidR="00C43DFB" w:rsidRPr="00914A5D" w:rsidP="00C43DFB" w14:paraId="79B02E35" w14:textId="77777777">
      <w:pPr>
        <w:ind w:left="720"/>
        <w:rPr>
          <w:rFonts w:ascii="Times New Roman" w:hAnsi="Times New Roman"/>
        </w:rPr>
      </w:pPr>
    </w:p>
    <w:p w:rsidR="00C43DFB" w:rsidRPr="00D3204A" w:rsidP="00C43DFB" w14:paraId="76E9995E" w14:textId="77777777">
      <w:pPr>
        <w:tabs>
          <w:tab w:val="left" w:pos="-1440"/>
        </w:tabs>
        <w:ind w:left="720" w:hanging="720"/>
        <w:rPr>
          <w:rFonts w:ascii="Times New Roman" w:hAnsi="Times New Roman"/>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914A5D">
        <w:rPr>
          <w:rFonts w:ascii="Times New Roman" w:hAnsi="Times New Roman"/>
          <w:b/>
        </w:rPr>
        <w:t>Also describe any consideration of using information technology to reduce burden.</w:t>
      </w:r>
    </w:p>
    <w:p w:rsidR="00C43DFB" w:rsidP="00C43DFB" w14:paraId="7AAD9D90" w14:textId="77777777">
      <w:pPr>
        <w:pStyle w:val="NormalWeb"/>
        <w:spacing w:line="264" w:lineRule="atLeast"/>
        <w:ind w:left="720"/>
      </w:pPr>
      <w:r>
        <w:t>The use of Form I-589 provides the most efficient means for collecting and processing the re</w:t>
      </w:r>
      <w:r w:rsidRPr="00F80549">
        <w:t xml:space="preserve"> </w:t>
      </w:r>
      <w:r>
        <w:t xml:space="preserve">The use of Form I-589 provides the most efficient means for collecting and processing the required data.  This form and its instructions reside on the USCIS website at </w:t>
      </w:r>
      <w:hyperlink r:id="rId7" w:history="1">
        <w:r>
          <w:rPr>
            <w:rStyle w:val="Hyperlink"/>
          </w:rPr>
          <w:t>http://www.uscis.gov/i-589</w:t>
        </w:r>
      </w:hyperlink>
      <w:r>
        <w:t xml:space="preserve">.  In addition, the EOIR Forms Web site page includes links to this form on the USCIS website.  </w:t>
      </w:r>
      <w:r>
        <w:rPr>
          <w:i/>
        </w:rPr>
        <w:t>See</w:t>
      </w:r>
      <w:r>
        <w:t xml:space="preserve"> </w:t>
      </w:r>
      <w:hyperlink r:id="rId8" w:history="1">
        <w:r>
          <w:rPr>
            <w:rStyle w:val="Hyperlink"/>
          </w:rPr>
          <w:t>http://www.justice.gov/eoir/formslist.htm</w:t>
        </w:r>
      </w:hyperlink>
      <w:r>
        <w:t xml:space="preserve">.  </w:t>
      </w:r>
    </w:p>
    <w:p w:rsidR="00C43DFB" w:rsidP="00C43DFB" w14:paraId="7182853C" w14:textId="77777777">
      <w:pPr>
        <w:pStyle w:val="NormalWeb"/>
        <w:spacing w:line="264" w:lineRule="atLeast"/>
        <w:ind w:left="720"/>
      </w:pPr>
      <w:r>
        <w:t xml:space="preserve">When filed with USCIS, Form I-589 can be prepared and submitted in paper or electronic format. When filed with DOJ, Form I-589 must be prepared and submitted in paper format. </w:t>
      </w:r>
    </w:p>
    <w:p w:rsidR="00C43DFB" w:rsidP="00C43DFB" w14:paraId="373E4C9A" w14:textId="77777777">
      <w:pPr>
        <w:pStyle w:val="NormalWeb"/>
        <w:spacing w:line="264" w:lineRule="atLeast"/>
        <w:ind w:left="720"/>
      </w:pPr>
      <w:r>
        <w:t xml:space="preserve">If filed in paper format, either a blank form can be printed, completed by hand, signed, then mailed or the PDF form must be completed on an electronic device, printed, signed, and then mailed.  The completed mailed form should be </w:t>
      </w:r>
      <w:r>
        <w:t>submittedtogether</w:t>
      </w:r>
      <w:r>
        <w:t xml:space="preserve"> with the required supporting documentation to the USCIS office that has jurisdiction over the respondent or, if the individual is in proceedings, filed with the immigration court that has jurisdiction over the case.</w:t>
      </w:r>
    </w:p>
    <w:p w:rsidR="00C43DFB" w:rsidRPr="00914A5D" w:rsidP="00C43DFB" w14:paraId="6C0D88E2" w14:textId="77777777">
      <w:pPr>
        <w:pStyle w:val="NormalWeb"/>
        <w:spacing w:line="264" w:lineRule="atLeast"/>
        <w:ind w:left="720"/>
      </w:pPr>
      <w:r>
        <w:t>If filed online using an USCIS online account, the form can be completed and signed electronically and submitted online. The online version is also available on the USCIS webs</w:t>
      </w:r>
      <w:r w:rsidRPr="000C5D1D">
        <w:t>ite. If an applicant starts a Form I-589 application online, USCIS will use a geolocation tool to determine that the applicant is located within the United States. The INA and regulations explicitly require that an applicant for asylum be physically present in the United States or seeking admission at a point of entry; thus, the requirement that an applicant demonstrate they are filing the asylum application in the United States is a statutory and regulatory obligation. If USCIS is unable to determine that the applicant is in the United States with the geolocation tool, the applicant</w:t>
      </w:r>
      <w:r>
        <w:t xml:space="preserve"> </w:t>
      </w:r>
      <w:r w:rsidRPr="000C5D1D">
        <w:t xml:space="preserve">will be instructed that they may file a paper application if they are otherwise eligible for asylum. Under certain </w:t>
      </w:r>
      <w:r w:rsidRPr="000C5D1D">
        <w:t>circumstances, an applicant should file on paper instead of online, otherwise th</w:t>
      </w:r>
      <w:r>
        <w:t>e application may be rejected and/or the case delayed. The circumstances under which a paper application should be filed are clearly explained at the beginning of the online filing process. Applicants who indicate they meet any of the circumstances that require paper filing are notified that they should file a paper application and not file online or their case may be delayed or rejected. An applicant who submits Form I-589 online despite meeting the circumstances that require filing a paper application and whose online-filed application is rejected will be notified only in their USCIS online account and instructed to prepare a paper application to resubmit to USCIS.</w:t>
      </w:r>
    </w:p>
    <w:p w:rsidR="00C43DFB" w:rsidRPr="001C1A4D" w:rsidP="00C43DFB" w14:paraId="5E49373E" w14:textId="77777777">
      <w:pPr>
        <w:tabs>
          <w:tab w:val="left" w:pos="-1440"/>
        </w:tabs>
        <w:rPr>
          <w:rFonts w:ascii="Times New Roman" w:hAnsi="Times New Roman"/>
        </w:rPr>
      </w:pPr>
    </w:p>
    <w:p w:rsidR="00C43DFB" w:rsidRPr="00914A5D" w:rsidP="00C43DFB" w14:paraId="39D92A2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C43DFB" w:rsidRPr="00914A5D" w:rsidP="00C43DFB" w14:paraId="5B32F1D5" w14:textId="77777777">
      <w:pPr>
        <w:tabs>
          <w:tab w:val="left" w:pos="-1440"/>
        </w:tabs>
        <w:ind w:left="720"/>
        <w:rPr>
          <w:rFonts w:ascii="Times New Roman" w:hAnsi="Times New Roman"/>
        </w:rPr>
      </w:pPr>
    </w:p>
    <w:p w:rsidR="00C43DFB" w:rsidP="00C43DFB" w14:paraId="4C746626" w14:textId="77777777">
      <w:pPr>
        <w:tabs>
          <w:tab w:val="left" w:pos="-1440"/>
        </w:tabs>
        <w:ind w:left="720" w:hanging="720"/>
        <w:jc w:val="both"/>
        <w:rPr>
          <w:rFonts w:ascii="Times New Roman" w:hAnsi="Times New Roman"/>
        </w:rPr>
      </w:pPr>
      <w:r>
        <w:rPr>
          <w:rFonts w:ascii="Times New Roman" w:hAnsi="Times New Roman"/>
        </w:rPr>
        <w:tab/>
        <w:t>A review of the USCIS automated forms tracking system revealed no duplication of effort for this information collection. A review conducted by EOIR also revealed no duplication of effort for this information collection.</w:t>
      </w:r>
    </w:p>
    <w:p w:rsidR="00C43DFB" w:rsidRPr="00914A5D" w:rsidP="00C43DFB" w14:paraId="287F9D9E" w14:textId="77777777">
      <w:pPr>
        <w:tabs>
          <w:tab w:val="left" w:pos="-1440"/>
        </w:tabs>
        <w:ind w:left="720"/>
        <w:rPr>
          <w:rFonts w:ascii="Times New Roman" w:hAnsi="Times New Roman"/>
        </w:rPr>
      </w:pPr>
      <w:r w:rsidRPr="00914A5D">
        <w:rPr>
          <w:rFonts w:ascii="Times New Roman" w:hAnsi="Times New Roman"/>
        </w:rPr>
        <w:tab/>
      </w:r>
    </w:p>
    <w:p w:rsidR="00C43DFB" w:rsidRPr="00914A5D" w:rsidP="00C43DFB" w14:paraId="42CE79C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C43DFB" w:rsidRPr="00914A5D" w:rsidP="00C43DFB" w14:paraId="0621ECA2" w14:textId="77777777">
      <w:pPr>
        <w:tabs>
          <w:tab w:val="left" w:pos="-1440"/>
        </w:tabs>
        <w:ind w:left="720"/>
        <w:rPr>
          <w:rFonts w:ascii="Times New Roman" w:hAnsi="Times New Roman"/>
        </w:rPr>
      </w:pPr>
    </w:p>
    <w:p w:rsidR="00C43DFB" w:rsidP="00C43DFB" w14:paraId="5E7FBE91"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00C43DFB" w:rsidRPr="00914A5D" w:rsidP="00C43DFB" w14:paraId="65BEB7F6" w14:textId="77777777">
      <w:pPr>
        <w:tabs>
          <w:tab w:val="left" w:pos="-1440"/>
        </w:tabs>
        <w:ind w:left="720"/>
        <w:rPr>
          <w:rFonts w:ascii="Times New Roman" w:hAnsi="Times New Roman"/>
        </w:rPr>
      </w:pPr>
      <w:r w:rsidRPr="00914A5D">
        <w:rPr>
          <w:rFonts w:ascii="Times New Roman" w:hAnsi="Times New Roman"/>
        </w:rPr>
        <w:tab/>
      </w:r>
    </w:p>
    <w:p w:rsidR="00C43DFB" w:rsidRPr="00914A5D" w:rsidP="00C43DFB" w14:paraId="60A438C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C43DFB" w:rsidRPr="00914A5D" w:rsidP="00C43DFB" w14:paraId="1723E18C" w14:textId="77777777">
      <w:pPr>
        <w:tabs>
          <w:tab w:val="left" w:pos="-1440"/>
        </w:tabs>
        <w:ind w:left="720"/>
        <w:rPr>
          <w:rFonts w:ascii="Times New Roman" w:hAnsi="Times New Roman"/>
        </w:rPr>
      </w:pPr>
    </w:p>
    <w:p w:rsidR="00C43DFB" w:rsidP="00C43DFB" w14:paraId="56907FDD" w14:textId="77777777">
      <w:pPr>
        <w:tabs>
          <w:tab w:val="left" w:pos="-1440"/>
        </w:tabs>
        <w:ind w:left="720" w:hanging="720"/>
        <w:jc w:val="both"/>
        <w:rPr>
          <w:rFonts w:ascii="Times New Roman" w:hAnsi="Times New Roman"/>
        </w:rPr>
      </w:pPr>
      <w:r>
        <w:rPr>
          <w:rFonts w:ascii="Times New Roman" w:hAnsi="Times New Roman"/>
        </w:rPr>
        <w:tab/>
        <w:t>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  This instrument facilitates the ability of aliens to apply for asylum as well as for withholding of removal under section 241(b)(3) of the INA and for withholding of removal under the 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00C43DFB" w:rsidRPr="00914A5D" w:rsidP="00C43DFB" w14:paraId="0086307C" w14:textId="77777777">
      <w:pPr>
        <w:tabs>
          <w:tab w:val="left" w:pos="-1440"/>
        </w:tabs>
        <w:ind w:left="720"/>
        <w:rPr>
          <w:rFonts w:ascii="Times New Roman" w:hAnsi="Times New Roman"/>
        </w:rPr>
      </w:pPr>
    </w:p>
    <w:p w:rsidR="00C43DFB" w:rsidRPr="00B1471A" w:rsidP="00C43DFB" w14:paraId="36FEA77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C43DFB" w:rsidRPr="00B1471A" w:rsidP="00C43DFB" w14:paraId="626A5BD6" w14:textId="77777777">
      <w:pPr>
        <w:tabs>
          <w:tab w:val="left" w:pos="-1440"/>
        </w:tabs>
        <w:ind w:left="720"/>
        <w:rPr>
          <w:rFonts w:ascii="Times New Roman" w:hAnsi="Times New Roman"/>
          <w:b/>
        </w:rPr>
      </w:pPr>
    </w:p>
    <w:p w:rsidR="00C43DFB" w:rsidRPr="000B00D2" w:rsidP="00C43DFB" w14:paraId="2552187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C43DFB" w:rsidRPr="00AF45F2" w:rsidP="00C43DFB" w14:paraId="5981E433" w14:textId="77777777">
      <w:pPr>
        <w:tabs>
          <w:tab w:val="left" w:pos="-1440"/>
          <w:tab w:val="left" w:pos="1080"/>
        </w:tabs>
        <w:ind w:left="1080" w:hanging="360"/>
        <w:rPr>
          <w:rFonts w:ascii="Times New Roman" w:hAnsi="Times New Roman"/>
          <w:b/>
        </w:rPr>
      </w:pPr>
    </w:p>
    <w:p w:rsidR="00C43DFB" w:rsidRPr="00B1471A" w:rsidP="00C43DFB" w14:paraId="671C573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C43DFB" w:rsidRPr="00B1471A" w:rsidP="00C43DFB" w14:paraId="454B896A" w14:textId="77777777">
      <w:pPr>
        <w:tabs>
          <w:tab w:val="left" w:pos="-1440"/>
          <w:tab w:val="left" w:pos="1080"/>
        </w:tabs>
        <w:ind w:left="1080" w:hanging="360"/>
        <w:rPr>
          <w:rFonts w:ascii="Times New Roman" w:hAnsi="Times New Roman"/>
          <w:b/>
        </w:rPr>
      </w:pPr>
    </w:p>
    <w:p w:rsidR="00C43DFB" w:rsidRPr="00B1471A" w:rsidP="00C43DFB" w14:paraId="7DE3819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C43DFB" w:rsidRPr="00B1471A" w:rsidP="00C43DFB" w14:paraId="1BEEA49E" w14:textId="77777777">
      <w:pPr>
        <w:tabs>
          <w:tab w:val="left" w:pos="-1440"/>
          <w:tab w:val="left" w:pos="1080"/>
        </w:tabs>
        <w:ind w:left="1080" w:hanging="360"/>
        <w:rPr>
          <w:rFonts w:ascii="Times New Roman" w:hAnsi="Times New Roman"/>
          <w:b/>
        </w:rPr>
      </w:pPr>
    </w:p>
    <w:p w:rsidR="00C43DFB" w:rsidRPr="00B1471A" w:rsidP="00C43DFB" w14:paraId="2D2E0E8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C43DFB" w:rsidRPr="00B1471A" w:rsidP="00C43DFB" w14:paraId="5AEF1AD1" w14:textId="77777777">
      <w:pPr>
        <w:tabs>
          <w:tab w:val="left" w:pos="-1440"/>
          <w:tab w:val="left" w:pos="1080"/>
        </w:tabs>
        <w:ind w:left="1080" w:hanging="360"/>
        <w:rPr>
          <w:rFonts w:ascii="Times New Roman" w:hAnsi="Times New Roman"/>
          <w:b/>
        </w:rPr>
      </w:pPr>
    </w:p>
    <w:p w:rsidR="00C43DFB" w:rsidRPr="00AF45F2" w:rsidP="00C43DFB" w14:paraId="21E4A75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C43DFB" w:rsidRPr="008A4764" w:rsidP="00C43DFB" w14:paraId="5BF52952" w14:textId="77777777">
      <w:pPr>
        <w:tabs>
          <w:tab w:val="left" w:pos="-1440"/>
          <w:tab w:val="left" w:pos="1080"/>
        </w:tabs>
        <w:ind w:left="1080" w:hanging="360"/>
        <w:rPr>
          <w:rFonts w:ascii="Times New Roman" w:hAnsi="Times New Roman"/>
          <w:b/>
        </w:rPr>
      </w:pPr>
    </w:p>
    <w:p w:rsidR="00C43DFB" w:rsidRPr="00B1471A" w:rsidP="00C43DFB" w14:paraId="673F11C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C43DFB" w:rsidRPr="00B1471A" w:rsidP="00C43DFB" w14:paraId="79998A61" w14:textId="77777777">
      <w:pPr>
        <w:tabs>
          <w:tab w:val="left" w:pos="-1440"/>
          <w:tab w:val="left" w:pos="1080"/>
        </w:tabs>
        <w:ind w:left="1080" w:hanging="360"/>
        <w:rPr>
          <w:rFonts w:ascii="Times New Roman" w:hAnsi="Times New Roman"/>
          <w:b/>
        </w:rPr>
      </w:pPr>
    </w:p>
    <w:p w:rsidR="00C43DFB" w:rsidRPr="00B1471A" w:rsidP="00C43DFB" w14:paraId="125EA6F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43DFB" w:rsidRPr="000B00D2" w:rsidP="00C43DFB" w14:paraId="5437678E" w14:textId="77777777">
      <w:pPr>
        <w:tabs>
          <w:tab w:val="left" w:pos="-1440"/>
          <w:tab w:val="left" w:pos="1080"/>
        </w:tabs>
        <w:ind w:left="1080" w:hanging="360"/>
        <w:rPr>
          <w:rFonts w:ascii="Times New Roman" w:hAnsi="Times New Roman"/>
          <w:b/>
        </w:rPr>
      </w:pPr>
    </w:p>
    <w:p w:rsidR="00C43DFB" w:rsidRPr="00B1471A" w:rsidP="00C43DFB" w14:paraId="6C8CA40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C43DFB" w:rsidRPr="00B1471A" w:rsidP="00C43DFB" w14:paraId="6A7D7A88" w14:textId="77777777">
      <w:pPr>
        <w:tabs>
          <w:tab w:val="left" w:pos="-1440"/>
        </w:tabs>
        <w:ind w:left="1440" w:hanging="720"/>
        <w:rPr>
          <w:rFonts w:ascii="Times New Roman" w:hAnsi="Times New Roman"/>
        </w:rPr>
      </w:pPr>
    </w:p>
    <w:p w:rsidR="00C43DFB" w:rsidRPr="000B00D2" w:rsidP="00C43DFB" w14:paraId="6AD2931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C43DFB" w:rsidRPr="00AF45F2" w:rsidP="00C43DFB" w14:paraId="2B61B179" w14:textId="77777777">
      <w:pPr>
        <w:ind w:left="720"/>
        <w:rPr>
          <w:rFonts w:ascii="Times New Roman" w:hAnsi="Times New Roman"/>
          <w:bCs/>
        </w:rPr>
      </w:pPr>
    </w:p>
    <w:p w:rsidR="00C43DFB" w:rsidP="00C43DFB" w14:paraId="5DE239CF"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Pr>
          <w:rFonts w:ascii="Times New Roman" w:hAnsi="Times New Roman"/>
          <w:b/>
        </w:rPr>
        <w:t xml:space="preserve">. </w:t>
      </w:r>
      <w:r w:rsidRPr="000B00D2">
        <w:rPr>
          <w:rFonts w:ascii="Times New Roman" w:hAnsi="Times New Roman"/>
          <w:b/>
        </w:rPr>
        <w:t>Specifically address comments received on cost and hour burden.</w:t>
      </w:r>
    </w:p>
    <w:p w:rsidR="00C43DFB" w:rsidP="00C43DFB" w14:paraId="4AD0A5A5" w14:textId="77777777">
      <w:pPr>
        <w:tabs>
          <w:tab w:val="left" w:pos="-1440"/>
        </w:tabs>
        <w:ind w:left="720"/>
        <w:rPr>
          <w:rFonts w:ascii="Times New Roman" w:hAnsi="Times New Roman"/>
          <w:b/>
        </w:rPr>
      </w:pPr>
    </w:p>
    <w:p w:rsidR="00C43DFB" w:rsidRPr="008F233F" w:rsidP="00C43DFB" w14:paraId="416F96EA"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3DFB" w:rsidRPr="008F233F" w:rsidP="00C43DFB" w14:paraId="70FD5F07" w14:textId="77777777">
      <w:pPr>
        <w:widowControl/>
        <w:ind w:left="720"/>
        <w:rPr>
          <w:rFonts w:ascii="Times New Roman" w:eastAsia="Calibri" w:hAnsi="Times New Roman"/>
          <w:b/>
        </w:rPr>
      </w:pPr>
    </w:p>
    <w:p w:rsidR="00C43DFB" w:rsidRPr="008F233F" w:rsidP="00C43DFB" w14:paraId="43338F72"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C6F5B" w:rsidRPr="003C6F5B" w:rsidP="003C6F5B" w14:paraId="0A52691F" w14:textId="77777777">
      <w:pPr>
        <w:tabs>
          <w:tab w:val="left" w:pos="-1440"/>
        </w:tabs>
        <w:rPr>
          <w:rFonts w:ascii="Times New Roman" w:hAnsi="Times New Roman"/>
          <w:b/>
        </w:rPr>
      </w:pPr>
    </w:p>
    <w:p w:rsidR="003C6F5B" w:rsidRPr="00AE2295" w:rsidP="00AE2295" w14:paraId="6CFC8322" w14:textId="424DAE69">
      <w:pPr>
        <w:tabs>
          <w:tab w:val="left" w:pos="-1440"/>
        </w:tabs>
        <w:ind w:left="720"/>
        <w:rPr>
          <w:rFonts w:ascii="Times New Roman" w:hAnsi="Times New Roman"/>
          <w:bCs/>
        </w:rPr>
      </w:pPr>
      <w:r w:rsidRPr="003C6F5B">
        <w:rPr>
          <w:rFonts w:ascii="Times New Roman" w:hAnsi="Times New Roman"/>
          <w:bCs/>
        </w:rPr>
        <w:t>USCIS published a Notice of Proposed Rulemaking for RIN 1615-AC9</w:t>
      </w:r>
      <w:r>
        <w:rPr>
          <w:rFonts w:ascii="Times New Roman" w:hAnsi="Times New Roman"/>
          <w:bCs/>
        </w:rPr>
        <w:t>7</w:t>
      </w:r>
      <w:r w:rsidRPr="003C6F5B">
        <w:rPr>
          <w:rFonts w:ascii="Times New Roman" w:hAnsi="Times New Roman"/>
          <w:bCs/>
        </w:rPr>
        <w:t xml:space="preserve"> in the Federal Register, which can be found at </w:t>
      </w:r>
      <w:hyperlink r:id="rId9" w:history="1">
        <w:r w:rsidRPr="003C6F5B">
          <w:rPr>
            <w:rStyle w:val="Hyperlink"/>
            <w:rFonts w:ascii="Times New Roman" w:hAnsi="Times New Roman"/>
            <w:bCs/>
          </w:rPr>
          <w:t>https://www.federalregister.gov/</w:t>
        </w:r>
      </w:hyperlink>
      <w:r w:rsidRPr="003C6F5B">
        <w:rPr>
          <w:rFonts w:ascii="Times New Roman" w:hAnsi="Times New Roman"/>
          <w:bCs/>
        </w:rPr>
        <w:t>.</w:t>
      </w:r>
    </w:p>
    <w:p w:rsidR="00C43DFB" w:rsidRPr="00914A5D" w:rsidP="00C43DFB" w14:paraId="4D3BEE14" w14:textId="399D9226">
      <w:pPr>
        <w:tabs>
          <w:tab w:val="left" w:pos="-1440"/>
        </w:tabs>
        <w:ind w:left="720"/>
        <w:rPr>
          <w:rFonts w:ascii="Times New Roman" w:hAnsi="Times New Roman"/>
        </w:rPr>
      </w:pPr>
      <w:r w:rsidRPr="00914A5D">
        <w:rPr>
          <w:rFonts w:ascii="Times New Roman" w:hAnsi="Times New Roman"/>
        </w:rPr>
        <w:tab/>
      </w:r>
    </w:p>
    <w:p w:rsidR="00C43DFB" w:rsidRPr="00914A5D" w:rsidP="00C43DFB" w14:paraId="0F2945BE"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C43DFB" w:rsidRPr="00914A5D" w:rsidP="00C43DFB" w14:paraId="3D6540A6" w14:textId="77777777">
      <w:pPr>
        <w:ind w:left="720"/>
        <w:rPr>
          <w:rFonts w:ascii="Times New Roman" w:hAnsi="Times New Roman"/>
        </w:rPr>
      </w:pPr>
    </w:p>
    <w:p w:rsidR="00C43DFB" w:rsidRPr="00914A5D" w:rsidP="00C43DFB" w14:paraId="706DE3BD" w14:textId="77777777">
      <w:pPr>
        <w:ind w:left="720"/>
        <w:rPr>
          <w:rFonts w:ascii="Times New Roman" w:hAnsi="Times New Roman"/>
        </w:rPr>
      </w:pPr>
      <w:r w:rsidRPr="00914A5D">
        <w:rPr>
          <w:rFonts w:ascii="Times New Roman" w:hAnsi="Times New Roman"/>
        </w:rPr>
        <w:t>USCIS does not provide any payment for benefit sought.</w:t>
      </w:r>
    </w:p>
    <w:p w:rsidR="00C43DFB" w:rsidRPr="00914A5D" w:rsidP="00C43DFB" w14:paraId="42C6B5C8" w14:textId="77777777">
      <w:pPr>
        <w:ind w:left="720"/>
        <w:rPr>
          <w:rFonts w:ascii="Times New Roman" w:hAnsi="Times New Roman"/>
        </w:rPr>
      </w:pPr>
    </w:p>
    <w:p w:rsidR="00C43DFB" w:rsidRPr="00914A5D" w:rsidP="00C43DFB" w14:paraId="5C3897B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C43DFB" w:rsidRPr="00914A5D" w:rsidP="00C43DFB" w14:paraId="02203992" w14:textId="77777777">
      <w:pPr>
        <w:tabs>
          <w:tab w:val="left" w:pos="-1440"/>
        </w:tabs>
        <w:ind w:left="720"/>
        <w:rPr>
          <w:rFonts w:ascii="Times New Roman" w:hAnsi="Times New Roman"/>
        </w:rPr>
      </w:pPr>
    </w:p>
    <w:p w:rsidR="00C43DFB" w:rsidP="00C43DFB" w14:paraId="294D4878" w14:textId="77777777">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parts 208.6 and 1208.6.  The regulation provides that “information contained in or pertaining to any asylum application shall not be disclosed without the written consent of the applicant, except as permitted by this section or at the discretion of the Attorney General” as articulated at 8 CFR parts 208.6(a) and 1208.6(a).  This discretion may also now be exercised by the Secretary of Homeland Security. </w:t>
      </w:r>
    </w:p>
    <w:p w:rsidR="00C43DFB" w:rsidP="00C43DFB" w14:paraId="14E1E071" w14:textId="77777777">
      <w:pPr>
        <w:pStyle w:val="Default"/>
        <w:rPr>
          <w:rFonts w:ascii="Times New Roman" w:hAnsi="Times New Roman" w:cs="Times New Roman"/>
        </w:rPr>
      </w:pPr>
    </w:p>
    <w:p w:rsidR="00C43DFB" w:rsidP="00C43DFB" w14:paraId="386C060D"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C43DFB" w:rsidP="00C43DFB" w14:paraId="2330E0A3" w14:textId="77777777">
      <w:pPr>
        <w:pStyle w:val="Default"/>
        <w:ind w:left="720"/>
        <w:rPr>
          <w:rFonts w:ascii="Times New Roman" w:hAnsi="Times New Roman" w:cs="Times New Roman"/>
        </w:rPr>
      </w:pPr>
    </w:p>
    <w:p w:rsidR="00C43DFB" w:rsidP="00C43DFB" w14:paraId="2526A4BC" w14:textId="77777777">
      <w:pPr>
        <w:pStyle w:val="Default"/>
        <w:numPr>
          <w:ilvl w:val="0"/>
          <w:numId w:val="10"/>
        </w:numPr>
        <w:rPr>
          <w:rFonts w:ascii="Times New Roman" w:hAnsi="Times New Roman" w:cs="Times New Roman"/>
        </w:rPr>
      </w:pPr>
      <w:r>
        <w:rPr>
          <w:rFonts w:ascii="Times New Roman" w:hAnsi="Times New Roman" w:cs="Times New Roman"/>
        </w:rPr>
        <w:t>DHS/USCIS/PIA-027 Refugees, Asylum, and Parole System and the Asylum Pre-Screening System;</w:t>
      </w:r>
    </w:p>
    <w:p w:rsidR="00C43DFB" w:rsidRPr="00AF5D8A" w:rsidP="00C43DFB" w14:paraId="568A79C4" w14:textId="77777777">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sidRPr="00AF5D8A">
        <w:rPr>
          <w:rFonts w:ascii="Times New Roman" w:hAnsi="Times New Roman" w:cs="Times New Roman"/>
        </w:rPr>
        <w:br/>
        <w:t xml:space="preserve"> </w:t>
      </w:r>
    </w:p>
    <w:p w:rsidR="00C43DFB" w:rsidP="00C43DFB" w14:paraId="196E3A42"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C43DFB" w:rsidP="00C43DFB" w14:paraId="34BDB897" w14:textId="77777777">
      <w:pPr>
        <w:pStyle w:val="Default"/>
        <w:rPr>
          <w:rFonts w:ascii="Times New Roman" w:hAnsi="Times New Roman" w:cs="Times New Roman"/>
          <w:sz w:val="22"/>
          <w:szCs w:val="22"/>
        </w:rPr>
      </w:pPr>
    </w:p>
    <w:p w:rsidR="00C43DFB" w:rsidP="00C43DFB" w14:paraId="6D5F3EB0"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C43DFB" w:rsidP="00C43DFB" w14:paraId="79F4CADD"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C43DFB" w:rsidRPr="00EC5F60" w:rsidP="00C43DFB" w14:paraId="3F1773E6"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00C43DFB" w:rsidRPr="00914A5D" w:rsidP="00C43DFB" w14:paraId="01C622E3" w14:textId="77777777">
      <w:pPr>
        <w:tabs>
          <w:tab w:val="left" w:pos="-1440"/>
        </w:tabs>
        <w:ind w:left="720"/>
        <w:rPr>
          <w:rFonts w:ascii="Times New Roman" w:hAnsi="Times New Roman"/>
        </w:rPr>
      </w:pPr>
    </w:p>
    <w:p w:rsidR="00C43DFB" w:rsidRPr="00B1471A" w:rsidP="00C43DFB" w14:paraId="29351A42"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t>requested, and any steps to be taken to obtain their consent.</w:t>
      </w:r>
    </w:p>
    <w:p w:rsidR="00C43DFB" w:rsidRPr="000B00D2" w:rsidP="00C43DFB" w14:paraId="753D2DDE" w14:textId="77777777">
      <w:pPr>
        <w:tabs>
          <w:tab w:val="left" w:pos="-1440"/>
        </w:tabs>
        <w:ind w:left="720"/>
        <w:rPr>
          <w:rFonts w:ascii="Times New Roman" w:hAnsi="Times New Roman"/>
        </w:rPr>
      </w:pPr>
      <w:r w:rsidRPr="000B00D2">
        <w:rPr>
          <w:rFonts w:ascii="Times New Roman" w:hAnsi="Times New Roman"/>
        </w:rPr>
        <w:tab/>
      </w:r>
    </w:p>
    <w:p w:rsidR="00C43DFB" w:rsidP="00C43DFB" w14:paraId="471590F7" w14:textId="77777777">
      <w:pPr>
        <w:tabs>
          <w:tab w:val="left" w:pos="-1440"/>
        </w:tabs>
        <w:ind w:left="720"/>
        <w:rPr>
          <w:rFonts w:ascii="Times New Roman" w:hAnsi="Times New Roman"/>
        </w:rPr>
      </w:pPr>
      <w:r>
        <w:rPr>
          <w:rFonts w:ascii="Times New Roman" w:hAnsi="Times New Roman"/>
        </w:rPr>
        <w:t>Certain questions on Form I-589 relate to topics of a sensitive nature such as the applicant’s race, religion, nationality, membership in a particular social group, or a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if stateless, because of persecution on account of race, religion, nationality, membership in a particular social group, or political opinion.  Aside from some general questions, these issues are explored only to the degree that they are raised by the applicant's claim for asylum under section</w:t>
      </w:r>
      <w:r>
        <w:rPr>
          <w:rFonts w:ascii="Times New Roman" w:hAnsi="Times New Roman"/>
          <w:vertAlign w:val="superscript"/>
        </w:rPr>
        <w:t xml:space="preserve"> </w:t>
      </w:r>
      <w:r>
        <w:rPr>
          <w:rFonts w:ascii="Times New Roman" w:hAnsi="Times New Roman"/>
        </w:rPr>
        <w:t xml:space="preserve">208(a) of the INA, for withholding of removal under section 241(b)(3) of the INA, or for withholding of removal under the regulations implementing the Convention Against Torture.  </w:t>
      </w:r>
    </w:p>
    <w:p w:rsidR="00C43DFB" w:rsidRPr="008A4764" w:rsidP="00C43DFB" w14:paraId="21671C30" w14:textId="77777777">
      <w:pPr>
        <w:tabs>
          <w:tab w:val="left" w:pos="-1440"/>
        </w:tabs>
        <w:ind w:left="720"/>
        <w:rPr>
          <w:rFonts w:ascii="Times New Roman" w:hAnsi="Times New Roman"/>
        </w:rPr>
      </w:pPr>
    </w:p>
    <w:p w:rsidR="00C43DFB" w:rsidRPr="008A4764" w:rsidP="00C43DFB" w14:paraId="0BB129B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Pr>
          <w:rFonts w:ascii="Times New Roman" w:hAnsi="Times New Roman"/>
          <w:b/>
        </w:rPr>
        <w:t xml:space="preserve">. </w:t>
      </w:r>
      <w:r w:rsidRPr="008A4764">
        <w:rPr>
          <w:rFonts w:ascii="Times New Roman" w:hAnsi="Times New Roman"/>
          <w:b/>
        </w:rPr>
        <w:t>The statement should:</w:t>
      </w:r>
    </w:p>
    <w:p w:rsidR="00C43DFB" w:rsidRPr="0029577A" w:rsidP="00C43DFB" w14:paraId="269A27E0" w14:textId="77777777">
      <w:pPr>
        <w:tabs>
          <w:tab w:val="left" w:pos="-1440"/>
        </w:tabs>
        <w:ind w:left="1440" w:hanging="720"/>
        <w:rPr>
          <w:rFonts w:ascii="Times New Roman" w:hAnsi="Times New Roman"/>
          <w:b/>
        </w:rPr>
      </w:pPr>
    </w:p>
    <w:p w:rsidR="00C43DFB" w:rsidRPr="00D80E94" w:rsidP="00C43DFB" w14:paraId="02F880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C43DFB" w:rsidRPr="00914A5D" w:rsidP="00C43DFB" w14:paraId="1263134A" w14:textId="77777777">
      <w:pPr>
        <w:tabs>
          <w:tab w:val="left" w:pos="1080"/>
        </w:tabs>
        <w:ind w:left="1080" w:hanging="360"/>
        <w:rPr>
          <w:rFonts w:ascii="Times New Roman" w:hAnsi="Times New Roman"/>
          <w:b/>
        </w:rPr>
      </w:pPr>
    </w:p>
    <w:p w:rsidR="00C43DFB" w:rsidRPr="00914A5D" w:rsidP="00C43DFB" w14:paraId="7DE7BAE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C43DFB" w:rsidRPr="00914A5D" w:rsidP="00C43DFB" w14:paraId="3DF90EAC" w14:textId="77777777">
      <w:pPr>
        <w:tabs>
          <w:tab w:val="left" w:pos="1080"/>
        </w:tabs>
        <w:ind w:left="1080" w:hanging="360"/>
        <w:rPr>
          <w:rFonts w:ascii="Times New Roman" w:hAnsi="Times New Roman"/>
          <w:b/>
        </w:rPr>
      </w:pPr>
    </w:p>
    <w:p w:rsidR="00C43DFB" w:rsidP="00C43DFB" w14:paraId="16B4BA8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Times New Roman" w:hAnsi="Times New Roman"/>
          <w:b/>
        </w:rPr>
        <w:t xml:space="preserve">. </w:t>
      </w:r>
      <w:r w:rsidRPr="00914A5D">
        <w:rPr>
          <w:rFonts w:ascii="Times New Roman" w:hAnsi="Times New Roman"/>
          <w:b/>
        </w:rPr>
        <w:t>Instead, this cost should be included in Item 14.</w:t>
      </w:r>
    </w:p>
    <w:p w:rsidR="00C43DFB" w:rsidP="00C43DFB" w14:paraId="2E645895" w14:textId="77777777">
      <w:pPr>
        <w:tabs>
          <w:tab w:val="left" w:pos="-1440"/>
          <w:tab w:val="left" w:pos="1080"/>
        </w:tabs>
        <w:rPr>
          <w:i/>
          <w:iCs/>
          <w:sz w:val="20"/>
          <w:szCs w:val="20"/>
        </w:rPr>
      </w:pPr>
    </w:p>
    <w:tbl>
      <w:tblPr>
        <w:tblW w:w="10143" w:type="dxa"/>
        <w:tblInd w:w="93" w:type="dxa"/>
        <w:tblLook w:val="04A0"/>
      </w:tblPr>
      <w:tblGrid>
        <w:gridCol w:w="1272"/>
        <w:gridCol w:w="1216"/>
        <w:gridCol w:w="1239"/>
        <w:gridCol w:w="1161"/>
        <w:gridCol w:w="1121"/>
        <w:gridCol w:w="983"/>
        <w:gridCol w:w="1016"/>
        <w:gridCol w:w="960"/>
        <w:gridCol w:w="1316"/>
      </w:tblGrid>
      <w:tr w14:paraId="7CA010C0" w14:textId="77777777" w:rsidTr="0053422D">
        <w:tblPrEx>
          <w:tblW w:w="10143"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noWrap/>
            <w:vAlign w:val="center"/>
            <w:hideMark/>
          </w:tcPr>
          <w:p w:rsidR="00C43DFB" w:rsidP="0053422D" w14:paraId="5AA724E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216" w:type="dxa"/>
            <w:tcBorders>
              <w:top w:val="single" w:sz="8" w:space="0" w:color="auto"/>
              <w:left w:val="nil"/>
              <w:bottom w:val="single" w:sz="8" w:space="0" w:color="auto"/>
              <w:right w:val="single" w:sz="8" w:space="0" w:color="auto"/>
            </w:tcBorders>
            <w:noWrap/>
            <w:vAlign w:val="center"/>
            <w:hideMark/>
          </w:tcPr>
          <w:p w:rsidR="00C43DFB" w:rsidP="0053422D" w14:paraId="59402E9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noWrap/>
            <w:vAlign w:val="center"/>
            <w:hideMark/>
          </w:tcPr>
          <w:p w:rsidR="00C43DFB" w:rsidP="0053422D" w14:paraId="0E47AA2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20" w:type="dxa"/>
            <w:tcBorders>
              <w:top w:val="single" w:sz="8" w:space="0" w:color="auto"/>
              <w:left w:val="nil"/>
              <w:bottom w:val="single" w:sz="8" w:space="0" w:color="auto"/>
              <w:right w:val="single" w:sz="8" w:space="0" w:color="auto"/>
            </w:tcBorders>
            <w:noWrap/>
            <w:vAlign w:val="center"/>
            <w:hideMark/>
          </w:tcPr>
          <w:p w:rsidR="00C43DFB" w:rsidP="0053422D" w14:paraId="6E56569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121" w:type="dxa"/>
            <w:tcBorders>
              <w:top w:val="single" w:sz="8" w:space="0" w:color="auto"/>
              <w:left w:val="nil"/>
              <w:bottom w:val="single" w:sz="8" w:space="0" w:color="auto"/>
              <w:right w:val="single" w:sz="8" w:space="0" w:color="auto"/>
            </w:tcBorders>
            <w:noWrap/>
            <w:vAlign w:val="center"/>
            <w:hideMark/>
          </w:tcPr>
          <w:p w:rsidR="00C43DFB" w:rsidP="0053422D" w14:paraId="01454F0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r>
              <w:rPr>
                <w:rFonts w:ascii="Times New Roman" w:hAnsi="Times New Roman"/>
                <w:color w:val="000000"/>
                <w:sz w:val="20"/>
                <w:szCs w:val="22"/>
              </w:rPr>
              <w:t>AxB</w:t>
            </w:r>
            <w:r>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noWrap/>
            <w:vAlign w:val="center"/>
            <w:hideMark/>
          </w:tcPr>
          <w:p w:rsidR="00C43DFB" w:rsidP="0053422D" w14:paraId="5AF492F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016" w:type="dxa"/>
            <w:tcBorders>
              <w:top w:val="single" w:sz="8" w:space="0" w:color="auto"/>
              <w:left w:val="nil"/>
              <w:bottom w:val="single" w:sz="8" w:space="0" w:color="auto"/>
              <w:right w:val="single" w:sz="8" w:space="0" w:color="auto"/>
            </w:tcBorders>
            <w:noWrap/>
            <w:vAlign w:val="center"/>
            <w:hideMark/>
          </w:tcPr>
          <w:p w:rsidR="00C43DFB" w:rsidP="0053422D" w14:paraId="73B79B2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r>
              <w:rPr>
                <w:rFonts w:ascii="Times New Roman" w:hAnsi="Times New Roman"/>
                <w:color w:val="000000"/>
                <w:sz w:val="20"/>
                <w:szCs w:val="22"/>
              </w:rPr>
              <w:t>CxD</w:t>
            </w:r>
            <w:r>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noWrap/>
            <w:vAlign w:val="center"/>
            <w:hideMark/>
          </w:tcPr>
          <w:p w:rsidR="00C43DFB" w:rsidP="0053422D" w14:paraId="65C8D3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216" w:type="dxa"/>
            <w:tcBorders>
              <w:top w:val="single" w:sz="8" w:space="0" w:color="auto"/>
              <w:left w:val="nil"/>
              <w:bottom w:val="single" w:sz="8" w:space="0" w:color="auto"/>
              <w:right w:val="single" w:sz="8" w:space="0" w:color="auto"/>
            </w:tcBorders>
            <w:noWrap/>
            <w:vAlign w:val="center"/>
            <w:hideMark/>
          </w:tcPr>
          <w:p w:rsidR="00C43DFB" w:rsidP="0053422D" w14:paraId="645A70A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r>
              <w:rPr>
                <w:rFonts w:ascii="Times New Roman" w:hAnsi="Times New Roman"/>
                <w:color w:val="000000"/>
                <w:sz w:val="20"/>
                <w:szCs w:val="22"/>
              </w:rPr>
              <w:t>ExF</w:t>
            </w:r>
            <w:r>
              <w:rPr>
                <w:rFonts w:ascii="Times New Roman" w:hAnsi="Times New Roman"/>
                <w:color w:val="000000"/>
                <w:sz w:val="20"/>
                <w:szCs w:val="22"/>
              </w:rPr>
              <w:t>)</w:t>
            </w:r>
          </w:p>
        </w:tc>
      </w:tr>
      <w:tr w14:paraId="6AA15376" w14:textId="77777777" w:rsidTr="0053422D">
        <w:tblPrEx>
          <w:tblW w:w="10143"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vAlign w:val="center"/>
            <w:hideMark/>
          </w:tcPr>
          <w:p w:rsidR="00C43DFB" w:rsidP="0053422D" w14:paraId="23AF99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216" w:type="dxa"/>
            <w:tcBorders>
              <w:top w:val="nil"/>
              <w:left w:val="nil"/>
              <w:bottom w:val="single" w:sz="8" w:space="0" w:color="auto"/>
              <w:right w:val="single" w:sz="8" w:space="0" w:color="auto"/>
            </w:tcBorders>
            <w:vAlign w:val="center"/>
            <w:hideMark/>
          </w:tcPr>
          <w:p w:rsidR="00C43DFB" w:rsidP="0053422D" w14:paraId="229CBD7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C43DFB" w:rsidP="0053422D" w14:paraId="721C544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20" w:type="dxa"/>
            <w:tcBorders>
              <w:top w:val="nil"/>
              <w:left w:val="nil"/>
              <w:bottom w:val="single" w:sz="8" w:space="0" w:color="auto"/>
              <w:right w:val="single" w:sz="8" w:space="0" w:color="auto"/>
            </w:tcBorders>
            <w:vAlign w:val="center"/>
            <w:hideMark/>
          </w:tcPr>
          <w:p w:rsidR="00C43DFB" w:rsidP="0053422D" w14:paraId="43DA9C9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121" w:type="dxa"/>
            <w:tcBorders>
              <w:top w:val="nil"/>
              <w:left w:val="nil"/>
              <w:bottom w:val="single" w:sz="8" w:space="0" w:color="auto"/>
              <w:right w:val="single" w:sz="8" w:space="0" w:color="auto"/>
            </w:tcBorders>
            <w:vAlign w:val="center"/>
            <w:hideMark/>
          </w:tcPr>
          <w:p w:rsidR="00C43DFB" w:rsidP="0053422D" w14:paraId="34B5EA2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vAlign w:val="center"/>
            <w:hideMark/>
          </w:tcPr>
          <w:p w:rsidR="00C43DFB" w:rsidP="0053422D" w14:paraId="41E4B4D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16" w:type="dxa"/>
            <w:tcBorders>
              <w:top w:val="nil"/>
              <w:left w:val="nil"/>
              <w:bottom w:val="single" w:sz="8" w:space="0" w:color="auto"/>
              <w:right w:val="single" w:sz="8" w:space="0" w:color="auto"/>
            </w:tcBorders>
            <w:vAlign w:val="center"/>
            <w:hideMark/>
          </w:tcPr>
          <w:p w:rsidR="00C43DFB" w:rsidP="0053422D" w14:paraId="7DFA20F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vAlign w:val="center"/>
            <w:hideMark/>
          </w:tcPr>
          <w:p w:rsidR="00C43DFB" w:rsidP="0053422D" w14:paraId="7FCFE9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16" w:type="dxa"/>
            <w:tcBorders>
              <w:top w:val="nil"/>
              <w:left w:val="nil"/>
              <w:bottom w:val="single" w:sz="8" w:space="0" w:color="auto"/>
              <w:right w:val="single" w:sz="8" w:space="0" w:color="auto"/>
            </w:tcBorders>
            <w:vAlign w:val="center"/>
            <w:hideMark/>
          </w:tcPr>
          <w:p w:rsidR="00C43DFB" w:rsidP="0053422D" w14:paraId="6633C1D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51A679F1" w14:textId="77777777" w:rsidTr="0053422D">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C43DFB" w:rsidP="0053422D" w14:paraId="4A0BD2B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216" w:type="dxa"/>
            <w:tcBorders>
              <w:top w:val="nil"/>
              <w:left w:val="nil"/>
              <w:bottom w:val="single" w:sz="8" w:space="0" w:color="auto"/>
              <w:right w:val="single" w:sz="8" w:space="0" w:color="auto"/>
            </w:tcBorders>
            <w:vAlign w:val="center"/>
            <w:hideMark/>
          </w:tcPr>
          <w:p w:rsidR="00C43DFB" w:rsidP="0053422D" w14:paraId="429EE8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(paper filing)</w:t>
            </w:r>
          </w:p>
        </w:tc>
        <w:tc>
          <w:tcPr>
            <w:tcW w:w="1239" w:type="dxa"/>
            <w:tcBorders>
              <w:top w:val="nil"/>
              <w:left w:val="nil"/>
              <w:bottom w:val="single" w:sz="8" w:space="0" w:color="auto"/>
              <w:right w:val="single" w:sz="8" w:space="0" w:color="auto"/>
            </w:tcBorders>
            <w:vAlign w:val="center"/>
            <w:hideMark/>
          </w:tcPr>
          <w:p w:rsidR="00C43DFB" w:rsidP="0053422D" w14:paraId="65384DE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152,542</w:t>
            </w:r>
          </w:p>
        </w:tc>
        <w:tc>
          <w:tcPr>
            <w:tcW w:w="1120" w:type="dxa"/>
            <w:tcBorders>
              <w:top w:val="nil"/>
              <w:left w:val="nil"/>
              <w:bottom w:val="single" w:sz="8" w:space="0" w:color="auto"/>
              <w:right w:val="single" w:sz="8" w:space="0" w:color="auto"/>
            </w:tcBorders>
            <w:vAlign w:val="center"/>
            <w:hideMark/>
          </w:tcPr>
          <w:p w:rsidR="00C43DFB" w:rsidP="0053422D" w14:paraId="3C1260D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C43DFB" w:rsidP="0053422D" w14:paraId="281975C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152,542</w:t>
            </w:r>
          </w:p>
        </w:tc>
        <w:tc>
          <w:tcPr>
            <w:tcW w:w="983" w:type="dxa"/>
            <w:tcBorders>
              <w:top w:val="nil"/>
              <w:left w:val="nil"/>
              <w:bottom w:val="single" w:sz="8" w:space="0" w:color="auto"/>
              <w:right w:val="single" w:sz="8" w:space="0" w:color="auto"/>
            </w:tcBorders>
            <w:vAlign w:val="center"/>
            <w:hideMark/>
          </w:tcPr>
          <w:p w:rsidR="00C43DFB" w:rsidRPr="00540242" w:rsidP="0053422D" w14:paraId="73C898E0"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p>
        </w:tc>
        <w:tc>
          <w:tcPr>
            <w:tcW w:w="1016" w:type="dxa"/>
            <w:tcBorders>
              <w:top w:val="nil"/>
              <w:left w:val="nil"/>
              <w:bottom w:val="single" w:sz="8" w:space="0" w:color="auto"/>
              <w:right w:val="single" w:sz="8" w:space="0" w:color="auto"/>
            </w:tcBorders>
            <w:vAlign w:val="center"/>
            <w:hideMark/>
          </w:tcPr>
          <w:p w:rsidR="00C43DFB" w:rsidRPr="007677A5" w:rsidP="0053422D" w14:paraId="719DC90D" w14:textId="77777777">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1,830,504</w:t>
            </w:r>
          </w:p>
        </w:tc>
        <w:tc>
          <w:tcPr>
            <w:tcW w:w="960" w:type="dxa"/>
            <w:tcBorders>
              <w:top w:val="nil"/>
              <w:left w:val="nil"/>
              <w:bottom w:val="single" w:sz="8" w:space="0" w:color="auto"/>
              <w:right w:val="single" w:sz="8" w:space="0" w:color="auto"/>
            </w:tcBorders>
            <w:vAlign w:val="center"/>
            <w:hideMark/>
          </w:tcPr>
          <w:p w:rsidR="00C43DFB" w:rsidRPr="00812528" w:rsidP="0053422D" w14:paraId="4D36E558"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16" w:type="dxa"/>
            <w:tcBorders>
              <w:top w:val="nil"/>
              <w:left w:val="nil"/>
              <w:bottom w:val="single" w:sz="8" w:space="0" w:color="auto"/>
              <w:right w:val="single" w:sz="8" w:space="0" w:color="auto"/>
            </w:tcBorders>
            <w:hideMark/>
          </w:tcPr>
          <w:p w:rsidR="00C43DFB" w:rsidRPr="007677A5" w:rsidP="0053422D" w14:paraId="4E0930EB" w14:textId="77777777">
            <w:pPr>
              <w:widowControl/>
              <w:autoSpaceDE/>
              <w:adjustRightInd/>
              <w:jc w:val="center"/>
              <w:rPr>
                <w:rFonts w:ascii="Times New Roman" w:hAnsi="Times New Roman"/>
                <w:color w:val="000000"/>
                <w:sz w:val="20"/>
                <w:szCs w:val="20"/>
              </w:rPr>
            </w:pPr>
            <w:r w:rsidRPr="007677A5">
              <w:rPr>
                <w:rFonts w:ascii="Times New Roman" w:hAnsi="Times New Roman"/>
                <w:sz w:val="20"/>
                <w:szCs w:val="20"/>
              </w:rPr>
              <w:t>$74,849,309</w:t>
            </w:r>
          </w:p>
        </w:tc>
      </w:tr>
      <w:tr w14:paraId="4C763C6E" w14:textId="77777777" w:rsidTr="0053422D">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tcPr>
          <w:p w:rsidR="00C43DFB" w:rsidP="0053422D" w14:paraId="7AA0F2D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216" w:type="dxa"/>
            <w:tcBorders>
              <w:top w:val="nil"/>
              <w:left w:val="nil"/>
              <w:bottom w:val="single" w:sz="8" w:space="0" w:color="auto"/>
              <w:right w:val="single" w:sz="8" w:space="0" w:color="auto"/>
            </w:tcBorders>
            <w:vAlign w:val="center"/>
          </w:tcPr>
          <w:p w:rsidR="00C43DFB" w:rsidP="0053422D" w14:paraId="0B90BEE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(online filing)</w:t>
            </w:r>
          </w:p>
        </w:tc>
        <w:tc>
          <w:tcPr>
            <w:tcW w:w="1239" w:type="dxa"/>
            <w:tcBorders>
              <w:top w:val="nil"/>
              <w:left w:val="nil"/>
              <w:bottom w:val="single" w:sz="8" w:space="0" w:color="auto"/>
              <w:right w:val="single" w:sz="8" w:space="0" w:color="auto"/>
            </w:tcBorders>
            <w:vAlign w:val="center"/>
          </w:tcPr>
          <w:p w:rsidR="00C43DFB" w:rsidP="0053422D" w14:paraId="4AF78DF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50,837</w:t>
            </w:r>
          </w:p>
        </w:tc>
        <w:tc>
          <w:tcPr>
            <w:tcW w:w="1120" w:type="dxa"/>
            <w:tcBorders>
              <w:top w:val="nil"/>
              <w:left w:val="nil"/>
              <w:bottom w:val="single" w:sz="8" w:space="0" w:color="auto"/>
              <w:right w:val="single" w:sz="8" w:space="0" w:color="auto"/>
            </w:tcBorders>
            <w:vAlign w:val="center"/>
          </w:tcPr>
          <w:p w:rsidR="00C43DFB" w:rsidP="0053422D" w14:paraId="160EEAF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tcPr>
          <w:p w:rsidR="00C43DFB" w:rsidP="0053422D" w14:paraId="5559E21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50,837</w:t>
            </w:r>
          </w:p>
        </w:tc>
        <w:tc>
          <w:tcPr>
            <w:tcW w:w="983" w:type="dxa"/>
            <w:tcBorders>
              <w:top w:val="nil"/>
              <w:left w:val="nil"/>
              <w:bottom w:val="single" w:sz="8" w:space="0" w:color="auto"/>
              <w:right w:val="single" w:sz="8" w:space="0" w:color="auto"/>
            </w:tcBorders>
            <w:vAlign w:val="center"/>
          </w:tcPr>
          <w:p w:rsidR="00C43DFB" w:rsidRPr="00540242" w:rsidP="0053422D" w14:paraId="7442B789"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w:t>
            </w:r>
          </w:p>
        </w:tc>
        <w:tc>
          <w:tcPr>
            <w:tcW w:w="1016" w:type="dxa"/>
            <w:tcBorders>
              <w:top w:val="nil"/>
              <w:left w:val="nil"/>
              <w:bottom w:val="single" w:sz="8" w:space="0" w:color="auto"/>
              <w:right w:val="single" w:sz="8" w:space="0" w:color="auto"/>
            </w:tcBorders>
            <w:vAlign w:val="center"/>
          </w:tcPr>
          <w:p w:rsidR="00C43DFB" w:rsidRPr="007677A5" w:rsidP="0053422D" w14:paraId="3E87EB4B" w14:textId="77777777">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559,207</w:t>
            </w:r>
          </w:p>
        </w:tc>
        <w:tc>
          <w:tcPr>
            <w:tcW w:w="960" w:type="dxa"/>
            <w:tcBorders>
              <w:top w:val="nil"/>
              <w:left w:val="nil"/>
              <w:bottom w:val="single" w:sz="8" w:space="0" w:color="auto"/>
              <w:right w:val="single" w:sz="8" w:space="0" w:color="auto"/>
            </w:tcBorders>
            <w:vAlign w:val="center"/>
          </w:tcPr>
          <w:p w:rsidR="00C43DFB" w:rsidRPr="00540242" w:rsidP="0053422D" w14:paraId="7F5A8511"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16" w:type="dxa"/>
            <w:tcBorders>
              <w:top w:val="nil"/>
              <w:left w:val="nil"/>
              <w:bottom w:val="single" w:sz="8" w:space="0" w:color="auto"/>
              <w:right w:val="single" w:sz="8" w:space="0" w:color="auto"/>
            </w:tcBorders>
          </w:tcPr>
          <w:p w:rsidR="00C43DFB" w:rsidRPr="007677A5" w:rsidP="0053422D" w14:paraId="4EAFE1CC" w14:textId="77777777">
            <w:pPr>
              <w:widowControl/>
              <w:autoSpaceDE/>
              <w:adjustRightInd/>
              <w:jc w:val="center"/>
              <w:rPr>
                <w:rFonts w:ascii="Times New Roman" w:hAnsi="Times New Roman"/>
                <w:color w:val="000000"/>
                <w:sz w:val="20"/>
                <w:szCs w:val="20"/>
              </w:rPr>
            </w:pPr>
            <w:r w:rsidRPr="007677A5">
              <w:rPr>
                <w:rFonts w:ascii="Times New Roman" w:hAnsi="Times New Roman"/>
                <w:sz w:val="20"/>
                <w:szCs w:val="20"/>
              </w:rPr>
              <w:t>$22,865,974</w:t>
            </w:r>
          </w:p>
        </w:tc>
      </w:tr>
      <w:tr w14:paraId="090F726F" w14:textId="77777777" w:rsidTr="0053422D">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C43DFB" w:rsidP="0053422D" w14:paraId="6EF92252"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216" w:type="dxa"/>
            <w:tcBorders>
              <w:top w:val="nil"/>
              <w:left w:val="nil"/>
              <w:bottom w:val="single" w:sz="8" w:space="0" w:color="auto"/>
              <w:right w:val="single" w:sz="8" w:space="0" w:color="auto"/>
            </w:tcBorders>
            <w:vAlign w:val="center"/>
            <w:hideMark/>
          </w:tcPr>
          <w:p w:rsidR="00C43DFB" w:rsidP="0053422D" w14:paraId="66A6A63D"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Biometric</w:t>
            </w:r>
            <w:r>
              <w:rPr>
                <w:rFonts w:ascii="Times New Roman" w:hAnsi="Times New Roman"/>
                <w:color w:val="000000"/>
                <w:sz w:val="20"/>
                <w:szCs w:val="20"/>
              </w:rPr>
              <w:t>**</w:t>
            </w:r>
            <w:r w:rsidRPr="00540242">
              <w:rPr>
                <w:rFonts w:ascii="Times New Roman" w:hAnsi="Times New Roman"/>
                <w:color w:val="000000"/>
                <w:sz w:val="20"/>
                <w:szCs w:val="20"/>
              </w:rPr>
              <w:t xml:space="preserve"> Submission</w:t>
            </w:r>
          </w:p>
        </w:tc>
        <w:tc>
          <w:tcPr>
            <w:tcW w:w="1239" w:type="dxa"/>
            <w:tcBorders>
              <w:top w:val="nil"/>
              <w:left w:val="nil"/>
              <w:bottom w:val="single" w:sz="8" w:space="0" w:color="auto"/>
              <w:right w:val="single" w:sz="8" w:space="0" w:color="auto"/>
            </w:tcBorders>
            <w:vAlign w:val="center"/>
            <w:hideMark/>
          </w:tcPr>
          <w:p w:rsidR="00C43DFB" w:rsidP="0053422D" w14:paraId="2244552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197,278</w:t>
            </w:r>
          </w:p>
        </w:tc>
        <w:tc>
          <w:tcPr>
            <w:tcW w:w="1120" w:type="dxa"/>
            <w:tcBorders>
              <w:top w:val="nil"/>
              <w:left w:val="nil"/>
              <w:bottom w:val="single" w:sz="8" w:space="0" w:color="auto"/>
              <w:right w:val="single" w:sz="8" w:space="0" w:color="auto"/>
            </w:tcBorders>
            <w:vAlign w:val="center"/>
            <w:hideMark/>
          </w:tcPr>
          <w:p w:rsidR="00C43DFB" w:rsidP="0053422D" w14:paraId="32831DE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C43DFB" w:rsidP="0053422D" w14:paraId="6B1EAF8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197,278</w:t>
            </w:r>
          </w:p>
        </w:tc>
        <w:tc>
          <w:tcPr>
            <w:tcW w:w="983" w:type="dxa"/>
            <w:tcBorders>
              <w:top w:val="nil"/>
              <w:left w:val="nil"/>
              <w:bottom w:val="single" w:sz="8" w:space="0" w:color="auto"/>
              <w:right w:val="single" w:sz="8" w:space="0" w:color="auto"/>
            </w:tcBorders>
            <w:vAlign w:val="center"/>
            <w:hideMark/>
          </w:tcPr>
          <w:p w:rsidR="00C43DFB" w:rsidRPr="00540242" w:rsidP="0053422D" w14:paraId="1340F057"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1.17</w:t>
            </w:r>
          </w:p>
        </w:tc>
        <w:tc>
          <w:tcPr>
            <w:tcW w:w="1016" w:type="dxa"/>
            <w:tcBorders>
              <w:top w:val="nil"/>
              <w:left w:val="nil"/>
              <w:bottom w:val="single" w:sz="8" w:space="0" w:color="auto"/>
              <w:right w:val="single" w:sz="8" w:space="0" w:color="auto"/>
            </w:tcBorders>
            <w:vAlign w:val="center"/>
            <w:hideMark/>
          </w:tcPr>
          <w:p w:rsidR="00C43DFB" w:rsidRPr="007677A5" w:rsidP="0053422D" w14:paraId="3D50FDDE" w14:textId="77777777">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230,815</w:t>
            </w:r>
          </w:p>
        </w:tc>
        <w:tc>
          <w:tcPr>
            <w:tcW w:w="960" w:type="dxa"/>
            <w:tcBorders>
              <w:top w:val="nil"/>
              <w:left w:val="nil"/>
              <w:bottom w:val="single" w:sz="8" w:space="0" w:color="auto"/>
              <w:right w:val="single" w:sz="8" w:space="0" w:color="auto"/>
            </w:tcBorders>
            <w:vAlign w:val="center"/>
            <w:hideMark/>
          </w:tcPr>
          <w:p w:rsidR="00C43DFB" w:rsidRPr="00540242" w:rsidP="0053422D" w14:paraId="6727F354" w14:textId="77777777">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16" w:type="dxa"/>
            <w:tcBorders>
              <w:top w:val="nil"/>
              <w:left w:val="nil"/>
              <w:bottom w:val="single" w:sz="8" w:space="0" w:color="auto"/>
              <w:right w:val="single" w:sz="8" w:space="0" w:color="auto"/>
            </w:tcBorders>
            <w:hideMark/>
          </w:tcPr>
          <w:p w:rsidR="00C43DFB" w:rsidRPr="007677A5" w:rsidP="0053422D" w14:paraId="02AEDAE0" w14:textId="77777777">
            <w:pPr>
              <w:widowControl/>
              <w:autoSpaceDE/>
              <w:adjustRightInd/>
              <w:jc w:val="center"/>
              <w:rPr>
                <w:rFonts w:ascii="Times New Roman" w:hAnsi="Times New Roman"/>
                <w:color w:val="000000"/>
                <w:sz w:val="20"/>
                <w:szCs w:val="20"/>
              </w:rPr>
            </w:pPr>
            <w:r w:rsidRPr="007677A5">
              <w:rPr>
                <w:rFonts w:ascii="Times New Roman" w:hAnsi="Times New Roman"/>
                <w:sz w:val="20"/>
                <w:szCs w:val="20"/>
              </w:rPr>
              <w:t>$9,438,036</w:t>
            </w:r>
          </w:p>
        </w:tc>
      </w:tr>
      <w:tr w14:paraId="6BAEC1CA" w14:textId="77777777" w:rsidTr="0053422D">
        <w:tblPrEx>
          <w:tblW w:w="10143"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C43DFB" w:rsidP="0053422D" w14:paraId="30A5C28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216" w:type="dxa"/>
            <w:tcBorders>
              <w:top w:val="nil"/>
              <w:left w:val="nil"/>
              <w:bottom w:val="single" w:sz="8" w:space="0" w:color="auto"/>
              <w:right w:val="single" w:sz="8" w:space="0" w:color="auto"/>
            </w:tcBorders>
            <w:shd w:val="clear" w:color="auto" w:fill="000000"/>
            <w:vAlign w:val="center"/>
            <w:hideMark/>
          </w:tcPr>
          <w:p w:rsidR="00C43DFB" w:rsidP="0053422D" w14:paraId="62237F7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auto" w:fill="000000"/>
            <w:vAlign w:val="center"/>
            <w:hideMark/>
          </w:tcPr>
          <w:p w:rsidR="00C43DFB" w:rsidRPr="00003FFE" w:rsidP="0053422D" w14:paraId="06DE7E39" w14:textId="77777777">
            <w:pPr>
              <w:widowControl/>
              <w:autoSpaceDE/>
              <w:adjustRightInd/>
              <w:jc w:val="center"/>
              <w:rPr>
                <w:rFonts w:ascii="Times New Roman" w:hAnsi="Times New Roman"/>
                <w:b/>
                <w:bCs/>
                <w:color w:val="FFFFFF" w:themeColor="background1"/>
                <w:sz w:val="20"/>
                <w:szCs w:val="20"/>
              </w:rPr>
            </w:pPr>
            <w:r w:rsidRPr="00D57BA2">
              <w:rPr>
                <w:rFonts w:ascii="Times New Roman" w:hAnsi="Times New Roman"/>
                <w:b/>
                <w:bCs/>
                <w:color w:val="000000" w:themeColor="text1"/>
                <w:sz w:val="20"/>
                <w:szCs w:val="20"/>
              </w:rPr>
              <w:t> </w:t>
            </w:r>
            <w:r w:rsidRPr="00D57BA2">
              <w:rPr>
                <w:rFonts w:ascii="Times New Roman" w:hAnsi="Times New Roman"/>
                <w:color w:val="000000" w:themeColor="text1"/>
                <w:sz w:val="20"/>
                <w:szCs w:val="20"/>
              </w:rPr>
              <w:t>203,379</w:t>
            </w:r>
          </w:p>
        </w:tc>
        <w:tc>
          <w:tcPr>
            <w:tcW w:w="1120" w:type="dxa"/>
            <w:tcBorders>
              <w:top w:val="nil"/>
              <w:left w:val="nil"/>
              <w:bottom w:val="single" w:sz="8" w:space="0" w:color="auto"/>
              <w:right w:val="single" w:sz="8" w:space="0" w:color="auto"/>
            </w:tcBorders>
            <w:shd w:val="clear" w:color="auto" w:fill="000000"/>
            <w:vAlign w:val="center"/>
            <w:hideMark/>
          </w:tcPr>
          <w:p w:rsidR="00C43DFB" w:rsidP="0053422D" w14:paraId="209CF52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21" w:type="dxa"/>
            <w:tcBorders>
              <w:top w:val="nil"/>
              <w:left w:val="nil"/>
              <w:bottom w:val="single" w:sz="8" w:space="0" w:color="auto"/>
              <w:right w:val="single" w:sz="8" w:space="0" w:color="auto"/>
            </w:tcBorders>
            <w:vAlign w:val="center"/>
            <w:hideMark/>
          </w:tcPr>
          <w:p w:rsidR="00C43DFB" w:rsidP="0053422D" w14:paraId="40748AB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400,657</w:t>
            </w:r>
          </w:p>
        </w:tc>
        <w:tc>
          <w:tcPr>
            <w:tcW w:w="983" w:type="dxa"/>
            <w:tcBorders>
              <w:top w:val="nil"/>
              <w:left w:val="nil"/>
              <w:bottom w:val="single" w:sz="8" w:space="0" w:color="auto"/>
              <w:right w:val="single" w:sz="8" w:space="0" w:color="auto"/>
            </w:tcBorders>
            <w:shd w:val="clear" w:color="auto" w:fill="000000"/>
            <w:vAlign w:val="center"/>
            <w:hideMark/>
          </w:tcPr>
          <w:p w:rsidR="00C43DFB" w:rsidRPr="00540242" w:rsidP="0053422D" w14:paraId="51FB64C1" w14:textId="77777777">
            <w:pPr>
              <w:widowControl/>
              <w:autoSpaceDE/>
              <w:adjustRightInd/>
              <w:jc w:val="center"/>
              <w:rPr>
                <w:rFonts w:ascii="Times New Roman" w:hAnsi="Times New Roman"/>
                <w:color w:val="000000"/>
                <w:sz w:val="20"/>
                <w:szCs w:val="20"/>
              </w:rPr>
            </w:pPr>
          </w:p>
        </w:tc>
        <w:tc>
          <w:tcPr>
            <w:tcW w:w="1016" w:type="dxa"/>
            <w:tcBorders>
              <w:top w:val="nil"/>
              <w:left w:val="nil"/>
              <w:bottom w:val="single" w:sz="8" w:space="0" w:color="auto"/>
              <w:right w:val="single" w:sz="8" w:space="0" w:color="auto"/>
            </w:tcBorders>
            <w:vAlign w:val="center"/>
            <w:hideMark/>
          </w:tcPr>
          <w:p w:rsidR="00C43DFB" w:rsidRPr="00540242" w:rsidP="0053422D" w14:paraId="34550FC3" w14:textId="77777777">
            <w:pPr>
              <w:widowControl/>
              <w:autoSpaceDE/>
              <w:adjustRightInd/>
              <w:jc w:val="center"/>
              <w:rPr>
                <w:rFonts w:ascii="Times New Roman" w:hAnsi="Times New Roman"/>
                <w:color w:val="000000"/>
                <w:sz w:val="20"/>
                <w:szCs w:val="20"/>
              </w:rPr>
            </w:pPr>
            <w:r w:rsidRPr="007677A5">
              <w:rPr>
                <w:rFonts w:ascii="Times New Roman" w:hAnsi="Times New Roman"/>
                <w:color w:val="000000"/>
                <w:sz w:val="20"/>
                <w:szCs w:val="20"/>
              </w:rPr>
              <w:t>2,620,526</w:t>
            </w:r>
          </w:p>
        </w:tc>
        <w:tc>
          <w:tcPr>
            <w:tcW w:w="960" w:type="dxa"/>
            <w:tcBorders>
              <w:top w:val="nil"/>
              <w:left w:val="nil"/>
              <w:bottom w:val="single" w:sz="8" w:space="0" w:color="auto"/>
              <w:right w:val="single" w:sz="8" w:space="0" w:color="auto"/>
            </w:tcBorders>
            <w:shd w:val="clear" w:color="auto" w:fill="000000"/>
            <w:vAlign w:val="center"/>
            <w:hideMark/>
          </w:tcPr>
          <w:p w:rsidR="00C43DFB" w:rsidRPr="00540242" w:rsidP="0053422D" w14:paraId="3E4A88E7" w14:textId="77777777">
            <w:pPr>
              <w:widowControl/>
              <w:autoSpaceDE/>
              <w:adjustRightInd/>
              <w:jc w:val="center"/>
              <w:rPr>
                <w:rFonts w:ascii="Times New Roman" w:hAnsi="Times New Roman"/>
                <w:color w:val="000000"/>
                <w:sz w:val="20"/>
                <w:szCs w:val="20"/>
              </w:rPr>
            </w:pPr>
          </w:p>
        </w:tc>
        <w:tc>
          <w:tcPr>
            <w:tcW w:w="1216" w:type="dxa"/>
            <w:tcBorders>
              <w:top w:val="nil"/>
              <w:left w:val="nil"/>
              <w:bottom w:val="single" w:sz="8" w:space="0" w:color="auto"/>
              <w:right w:val="single" w:sz="8" w:space="0" w:color="auto"/>
            </w:tcBorders>
            <w:vAlign w:val="center"/>
            <w:hideMark/>
          </w:tcPr>
          <w:p w:rsidR="00C43DFB" w:rsidRPr="00540242" w:rsidP="0053422D" w14:paraId="4C72D052" w14:textId="77777777">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107,153,319</w:t>
            </w:r>
          </w:p>
        </w:tc>
      </w:tr>
    </w:tbl>
    <w:p w:rsidR="00C43DFB" w:rsidP="00C43DFB" w14:paraId="2A4D40B8" w14:textId="77777777">
      <w:pPr>
        <w:tabs>
          <w:tab w:val="left" w:pos="-1440"/>
          <w:tab w:val="left" w:pos="1080"/>
        </w:tabs>
        <w:ind w:left="1080" w:hanging="360"/>
        <w:rPr>
          <w:rFonts w:ascii="Times New Roman" w:hAnsi="Times New Roman"/>
          <w:b/>
        </w:rPr>
      </w:pPr>
    </w:p>
    <w:p w:rsidR="00C43DFB" w:rsidP="00C43DFB" w14:paraId="70B8A0B1" w14:textId="77777777">
      <w:pPr>
        <w:ind w:left="720"/>
        <w:rPr>
          <w:rFonts w:ascii="Times New Roman" w:hAnsi="Times New Roman"/>
          <w:i/>
          <w:iCs/>
          <w:sz w:val="20"/>
          <w:szCs w:val="20"/>
        </w:rPr>
      </w:pPr>
      <w:r w:rsidRPr="00540242">
        <w:rPr>
          <w:rFonts w:ascii="Times New Roman" w:hAnsi="Times New Roman"/>
          <w:i/>
          <w:iCs/>
          <w:sz w:val="20"/>
          <w:szCs w:val="20"/>
        </w:rPr>
        <w:t xml:space="preserve">* The above </w:t>
      </w:r>
      <w:r w:rsidRPr="00812528">
        <w:rPr>
          <w:rFonts w:ascii="Times New Roman" w:hAnsi="Times New Roman"/>
          <w:i/>
          <w:iCs/>
          <w:sz w:val="20"/>
          <w:szCs w:val="20"/>
        </w:rPr>
        <w:t>The above Average Hourly Wage Rate is the May 2021 Bureau of Labor Statistics average wage for All Occupations</w:t>
      </w:r>
      <w:r w:rsidRPr="00540242">
        <w:rPr>
          <w:rFonts w:ascii="Times New Roman" w:hAnsi="Times New Roman"/>
          <w:i/>
          <w:iCs/>
          <w:sz w:val="20"/>
          <w:szCs w:val="20"/>
        </w:rPr>
        <w:t xml:space="preserve"> of </w:t>
      </w:r>
      <w:r w:rsidRPr="00812528">
        <w:rPr>
          <w:rFonts w:ascii="Times New Roman" w:hAnsi="Times New Roman"/>
          <w:i/>
          <w:iCs/>
          <w:sz w:val="20"/>
          <w:szCs w:val="20"/>
        </w:rPr>
        <w:t>$28.01</w:t>
      </w:r>
      <w:r w:rsidRPr="00540242">
        <w:rPr>
          <w:rFonts w:ascii="Times New Roman" w:hAnsi="Times New Roman"/>
          <w:i/>
          <w:iCs/>
          <w:sz w:val="20"/>
          <w:szCs w:val="20"/>
        </w:rPr>
        <w:t xml:space="preserve"> times the wage rate benefit multiplier of 1.46 (to account for benefits provided) equaling </w:t>
      </w:r>
      <w:r w:rsidRPr="00812528">
        <w:rPr>
          <w:rFonts w:ascii="Times New Roman" w:hAnsi="Times New Roman"/>
          <w:i/>
          <w:iCs/>
          <w:sz w:val="20"/>
          <w:szCs w:val="20"/>
        </w:rPr>
        <w:t>$40.89</w:t>
      </w:r>
      <w:r w:rsidRPr="00540242">
        <w:rPr>
          <w:rFonts w:ascii="Times New Roman" w:hAnsi="Times New Roman"/>
          <w:i/>
          <w:iCs/>
          <w:sz w:val="20"/>
          <w:szCs w:val="20"/>
        </w:rPr>
        <w:t>. The selection of “All Occupations” was chosen because respondents to this collection could be expected from any occupation.</w:t>
      </w:r>
    </w:p>
    <w:p w:rsidR="00C43DFB" w:rsidP="00C43DFB" w14:paraId="75F99BEF" w14:textId="77777777">
      <w:pPr>
        <w:ind w:left="720"/>
        <w:rPr>
          <w:rFonts w:ascii="Times New Roman" w:hAnsi="Times New Roman"/>
          <w:i/>
          <w:iCs/>
          <w:sz w:val="20"/>
          <w:szCs w:val="20"/>
        </w:rPr>
      </w:pPr>
      <w:r>
        <w:rPr>
          <w:rFonts w:ascii="Times New Roman" w:hAnsi="Times New Roman"/>
          <w:i/>
          <w:iCs/>
          <w:sz w:val="20"/>
          <w:szCs w:val="20"/>
        </w:rPr>
        <w:t>** Not all I-589 applicants provide biometrics. USCIS currently estimates that approximately 197,278 respondents will provide biometrics. Therefore, the total number of respondents and responses for OMB 1615-0067 remains 203,379. The numbers of respondents for biometrics are a subset of the total, general estimate.</w:t>
      </w:r>
    </w:p>
    <w:p w:rsidR="00C43DFB" w:rsidP="00C43DFB" w14:paraId="03E026ED" w14:textId="77777777">
      <w:pPr>
        <w:tabs>
          <w:tab w:val="left" w:pos="-1440"/>
        </w:tabs>
        <w:ind w:left="720" w:hanging="720"/>
        <w:jc w:val="both"/>
        <w:rPr>
          <w:rFonts w:ascii="Times New Roman" w:hAnsi="Times New Roman"/>
        </w:rPr>
      </w:pPr>
    </w:p>
    <w:p w:rsidR="00C43DFB" w:rsidRPr="000B00D2" w:rsidP="00C43DFB" w14:paraId="4941F26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w:t>
      </w:r>
      <w:r>
        <w:rPr>
          <w:rFonts w:ascii="Times New Roman" w:hAnsi="Times New Roman"/>
          <w:b/>
        </w:rPr>
        <w:t xml:space="preserve">. </w:t>
      </w:r>
      <w:r w:rsidRPr="000B00D2">
        <w:rPr>
          <w:rFonts w:ascii="Times New Roman" w:hAnsi="Times New Roman"/>
          <w:b/>
        </w:rPr>
        <w:t>(Do not include the cost of any hour burden shown in Items 12 and 14).</w:t>
      </w:r>
    </w:p>
    <w:p w:rsidR="00C43DFB" w:rsidRPr="00AF45F2" w:rsidP="00C43DFB" w14:paraId="01FCCB30" w14:textId="77777777">
      <w:pPr>
        <w:ind w:left="720"/>
        <w:rPr>
          <w:rFonts w:ascii="Times New Roman" w:hAnsi="Times New Roman"/>
          <w:b/>
        </w:rPr>
      </w:pPr>
    </w:p>
    <w:p w:rsidR="00C43DFB" w:rsidRPr="00D80E94" w:rsidP="00C43DFB" w14:paraId="5A0B904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C43DFB" w:rsidRPr="00914A5D" w:rsidP="00C43DFB" w14:paraId="08AAFB92" w14:textId="77777777">
      <w:pPr>
        <w:tabs>
          <w:tab w:val="left" w:pos="1080"/>
        </w:tabs>
        <w:ind w:left="1080" w:hanging="360"/>
        <w:rPr>
          <w:rFonts w:ascii="Times New Roman" w:hAnsi="Times New Roman"/>
          <w:b/>
        </w:rPr>
      </w:pPr>
    </w:p>
    <w:p w:rsidR="00C43DFB" w:rsidRPr="00914A5D" w:rsidP="00C43DFB" w14:paraId="2281B94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43DFB" w:rsidRPr="00914A5D" w:rsidP="00C43DFB" w14:paraId="65ACA257" w14:textId="77777777">
      <w:pPr>
        <w:tabs>
          <w:tab w:val="left" w:pos="1080"/>
        </w:tabs>
        <w:ind w:left="1080" w:hanging="360"/>
        <w:rPr>
          <w:rFonts w:ascii="Times New Roman" w:hAnsi="Times New Roman"/>
          <w:b/>
        </w:rPr>
      </w:pPr>
    </w:p>
    <w:p w:rsidR="00C43DFB" w:rsidRPr="00B1471A" w:rsidP="00C43DFB" w14:paraId="2ADCD87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t>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p>
    <w:p w:rsidR="00C43DFB" w:rsidP="00C43DFB" w14:paraId="756A4165" w14:textId="77777777">
      <w:pPr>
        <w:tabs>
          <w:tab w:val="left" w:pos="-1440"/>
        </w:tabs>
        <w:ind w:left="1440" w:hanging="720"/>
        <w:rPr>
          <w:rFonts w:ascii="Times New Roman" w:hAnsi="Times New Roman"/>
        </w:rPr>
      </w:pPr>
    </w:p>
    <w:p w:rsidR="00C43DFB" w:rsidP="00C43DFB" w14:paraId="085BC7EA" w14:textId="77777777">
      <w:pPr>
        <w:tabs>
          <w:tab w:val="left" w:pos="-1440"/>
        </w:tabs>
        <w:ind w:left="720"/>
        <w:rPr>
          <w:rFonts w:ascii="Times New Roman" w:hAnsi="Times New Roman"/>
        </w:rPr>
      </w:pPr>
      <w:r>
        <w:rPr>
          <w:rFonts w:ascii="Times New Roman" w:hAnsi="Times New Roman"/>
        </w:rPr>
        <w:t>There are no capital, start-up, operational or maintenance costs associated with this collection of information.  There is no filing fee for Form I-589.</w:t>
      </w:r>
    </w:p>
    <w:p w:rsidR="00C43DFB" w:rsidP="00C43DFB" w14:paraId="4411182D" w14:textId="77777777">
      <w:pPr>
        <w:tabs>
          <w:tab w:val="left" w:pos="-1440"/>
        </w:tabs>
        <w:rPr>
          <w:rFonts w:ascii="Times New Roman" w:hAnsi="Times New Roman"/>
        </w:rPr>
      </w:pPr>
    </w:p>
    <w:p w:rsidR="00C43DFB" w:rsidP="00C43DFB" w14:paraId="5ED94AB7" w14:textId="77777777">
      <w:pPr>
        <w:tabs>
          <w:tab w:val="left" w:pos="-1440"/>
        </w:tabs>
        <w:ind w:left="720"/>
        <w:rPr>
          <w:rFonts w:ascii="Times New Roman" w:hAnsi="Times New Roman"/>
        </w:rPr>
      </w:pPr>
      <w:r>
        <w:rPr>
          <w:rFonts w:ascii="Times New Roman" w:hAnsi="Times New Roman"/>
        </w:rPr>
        <w:t xml:space="preserve">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203,379</w:t>
      </w:r>
      <w:r>
        <w:rPr>
          <w:rFonts w:ascii="Times New Roman" w:hAnsi="Times New Roman"/>
        </w:rPr>
        <w:t xml:space="preserve"> multiplied by 80 percent multiplied by $515, which equals $83,792,148.</w:t>
      </w:r>
    </w:p>
    <w:p w:rsidR="00C43DFB" w:rsidRPr="00AF45F2" w:rsidP="00C43DFB" w14:paraId="51143C8D" w14:textId="77777777">
      <w:pPr>
        <w:ind w:left="1440" w:hanging="720"/>
        <w:rPr>
          <w:rFonts w:ascii="Times New Roman" w:hAnsi="Times New Roman"/>
        </w:rPr>
      </w:pPr>
    </w:p>
    <w:p w:rsidR="00C43DFB" w:rsidRPr="0029577A" w:rsidP="00C43DFB" w14:paraId="1063C08C"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C43DFB" w:rsidRPr="005B6129" w:rsidP="00C43DFB" w14:paraId="5DDE6DBC" w14:textId="77777777">
      <w:pPr>
        <w:tabs>
          <w:tab w:val="left" w:pos="-1440"/>
        </w:tabs>
        <w:ind w:left="720"/>
        <w:rPr>
          <w:rFonts w:ascii="Times New Roman" w:hAnsi="Times New Roman"/>
        </w:rPr>
      </w:pPr>
    </w:p>
    <w:p w:rsidR="00C43DFB" w:rsidP="00C43DFB" w14:paraId="3924ABF3" w14:textId="77777777">
      <w:pPr>
        <w:widowControl/>
        <w:autoSpaceDE/>
        <w:adjustRightInd/>
        <w:ind w:left="360" w:firstLine="360"/>
        <w:rPr>
          <w:rFonts w:ascii="Times New Roman" w:eastAsia="Calibri" w:hAnsi="Times New Roman"/>
          <w:b/>
        </w:rPr>
      </w:pPr>
      <w:r>
        <w:rPr>
          <w:rFonts w:ascii="Times New Roman" w:eastAsia="Calibri" w:hAnsi="Times New Roman"/>
          <w:b/>
        </w:rPr>
        <w:t>Total Cost to the Government: $369,539,643.</w:t>
      </w:r>
    </w:p>
    <w:p w:rsidR="00C43DFB" w:rsidP="00C43DFB" w14:paraId="4EE55D45" w14:textId="77777777">
      <w:pPr>
        <w:widowControl/>
        <w:autoSpaceDE/>
        <w:adjustRightInd/>
        <w:rPr>
          <w:rFonts w:ascii="Times New Roman" w:eastAsia="Calibri" w:hAnsi="Times New Roman"/>
          <w:b/>
        </w:rPr>
      </w:pPr>
    </w:p>
    <w:p w:rsidR="00C43DFB" w:rsidP="00C43DFB" w14:paraId="503811A8" w14:textId="77777777">
      <w:pPr>
        <w:widowControl/>
        <w:autoSpaceDE/>
        <w:adjustRightInd/>
        <w:ind w:left="720"/>
        <w:rPr>
          <w:rFonts w:ascii="Times New Roman" w:eastAsia="Calibri" w:hAnsi="Times New Roman"/>
          <w:b/>
        </w:rPr>
      </w:pPr>
      <w:r>
        <w:rPr>
          <w:rFonts w:ascii="Times New Roman" w:eastAsia="Calibri" w:hAnsi="Times New Roman"/>
        </w:rPr>
        <w:t>Below is an estimated unit cost for processing form I-589 (Application for Asylum and Withholding of Removal),</w:t>
      </w:r>
      <w:r w:rsidRPr="00A37BA7">
        <w:rPr>
          <w:rFonts w:ascii="Times New Roman" w:eastAsia="Calibri" w:hAnsi="Times New Roman"/>
        </w:rPr>
        <w:t xml:space="preserve"> </w:t>
      </w:r>
      <w:r>
        <w:rPr>
          <w:rFonts w:ascii="Times New Roman" w:eastAsia="Calibri" w:hAnsi="Times New Roman"/>
        </w:rPr>
        <w:t xml:space="preserve">which is a </w:t>
      </w:r>
      <w:r>
        <w:rPr>
          <w:rFonts w:ascii="Times New Roman" w:eastAsia="Calibri" w:hAnsi="Times New Roman"/>
          <w:b/>
        </w:rPr>
        <w:t>non-fee-paying form</w:t>
      </w:r>
      <w:r>
        <w:rPr>
          <w:rFonts w:ascii="Times New Roman" w:eastAsia="Calibri" w:hAnsi="Times New Roman"/>
        </w:rPr>
        <w:t>. The model output estimates the government unit cost as $1,817 and is broken out by activity in the following chart:</w:t>
      </w:r>
    </w:p>
    <w:p w:rsidR="00C43DFB" w:rsidP="00C43DFB" w14:paraId="120A41F6" w14:textId="77777777">
      <w:pPr>
        <w:widowControl/>
        <w:autoSpaceDE/>
        <w:adjustRightInd/>
        <w:rPr>
          <w:rFonts w:ascii="Times New Roman" w:eastAsia="Calibri" w:hAnsi="Times New Roman"/>
          <w:b/>
        </w:rPr>
      </w:pPr>
    </w:p>
    <w:tbl>
      <w:tblPr>
        <w:tblpPr w:leftFromText="171" w:rightFromText="171" w:vertAnchor="text" w:horzAnchor="page" w:tblpX="2215" w:tblpY="1"/>
        <w:tblW w:w="4785" w:type="dxa"/>
        <w:tblCellMar>
          <w:left w:w="0" w:type="dxa"/>
          <w:right w:w="0" w:type="dxa"/>
        </w:tblCellMar>
        <w:tblLook w:val="04A0"/>
      </w:tblPr>
      <w:tblGrid>
        <w:gridCol w:w="3795"/>
        <w:gridCol w:w="990"/>
      </w:tblGrid>
      <w:tr w14:paraId="1239AD69" w14:textId="77777777" w:rsidTr="0053422D">
        <w:tblPrEx>
          <w:tblW w:w="4785" w:type="dxa"/>
          <w:tblCellMar>
            <w:left w:w="0" w:type="dxa"/>
            <w:right w:w="0" w:type="dxa"/>
          </w:tblCellMar>
          <w:tblLook w:val="04A0"/>
        </w:tblPrEx>
        <w:trPr>
          <w:trHeight w:val="315"/>
        </w:trPr>
        <w:tc>
          <w:tcPr>
            <w:tcW w:w="4785"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C43DFB" w:rsidP="0053422D" w14:paraId="2E912B5F" w14:textId="77777777">
            <w:pPr>
              <w:widowControl/>
              <w:autoSpaceDE/>
              <w:adjustRightInd/>
              <w:jc w:val="center"/>
              <w:rPr>
                <w:rFonts w:ascii="Times New Roman" w:eastAsia="Calibri" w:hAnsi="Times New Roman"/>
                <w:b/>
                <w:bCs/>
                <w:highlight w:val="yellow"/>
              </w:rPr>
            </w:pPr>
            <w:r>
              <w:rPr>
                <w:rFonts w:ascii="Times New Roman" w:eastAsia="Calibri" w:hAnsi="Times New Roman"/>
                <w:b/>
                <w:bCs/>
              </w:rPr>
              <w:t>Average Unit Cost</w:t>
            </w:r>
          </w:p>
        </w:tc>
      </w:tr>
      <w:tr w14:paraId="1A90E0DE"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49BE5D13" w14:textId="77777777">
            <w:pPr>
              <w:widowControl/>
              <w:autoSpaceDE/>
              <w:adjustRightInd/>
              <w:rPr>
                <w:rFonts w:ascii="Times New Roman" w:eastAsia="Calibri" w:hAnsi="Times New Roman"/>
              </w:rPr>
            </w:pPr>
            <w:r>
              <w:rPr>
                <w:rFonts w:ascii="Times New Roman" w:eastAsia="Calibri" w:hAnsi="Times New Roman"/>
              </w:rPr>
              <w:t>Exam Activities (Including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27058A21" w14:textId="77777777">
            <w:pPr>
              <w:widowControl/>
              <w:autoSpaceDE/>
              <w:adjustRightInd/>
              <w:jc w:val="right"/>
              <w:rPr>
                <w:rFonts w:ascii="Times New Roman" w:eastAsia="Calibri" w:hAnsi="Times New Roman"/>
              </w:rPr>
            </w:pPr>
            <w:r>
              <w:rPr>
                <w:rFonts w:ascii="Times New Roman" w:eastAsia="Calibri" w:hAnsi="Times New Roman"/>
              </w:rPr>
              <w:t>$1,817</w:t>
            </w:r>
          </w:p>
        </w:tc>
      </w:tr>
      <w:tr w14:paraId="4FF94DA9"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430F6610" w14:textId="77777777">
            <w:pPr>
              <w:widowControl/>
              <w:autoSpaceDE/>
              <w:adjustRightInd/>
              <w:rPr>
                <w:rFonts w:ascii="Times New Roman" w:eastAsia="Calibri" w:hAnsi="Times New Roman"/>
              </w:rPr>
            </w:pPr>
            <w:r>
              <w:rPr>
                <w:rFonts w:ascii="Times New Roman" w:eastAsia="Calibri" w:hAnsi="Times New Roman"/>
              </w:rPr>
              <w:t>  Management and Oversight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40CB3D3E" w14:textId="77777777">
            <w:pPr>
              <w:widowControl/>
              <w:autoSpaceDE/>
              <w:adjustRightInd/>
              <w:jc w:val="right"/>
              <w:rPr>
                <w:rFonts w:ascii="Times New Roman" w:eastAsia="Calibri" w:hAnsi="Times New Roman"/>
              </w:rPr>
            </w:pPr>
            <w:r>
              <w:rPr>
                <w:rFonts w:ascii="Times New Roman" w:eastAsia="Calibri" w:hAnsi="Times New Roman"/>
              </w:rPr>
              <w:t>$750</w:t>
            </w:r>
          </w:p>
        </w:tc>
      </w:tr>
      <w:tr w14:paraId="5754A73A"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2A2539F1" w14:textId="77777777">
            <w:pPr>
              <w:widowControl/>
              <w:autoSpaceDE/>
              <w:adjustRightInd/>
              <w:rPr>
                <w:rFonts w:ascii="Times New Roman" w:eastAsia="Calibri" w:hAnsi="Times New Roman"/>
              </w:rPr>
            </w:pPr>
            <w:r>
              <w:rPr>
                <w:rFonts w:ascii="Times New Roman" w:eastAsia="Calibri" w:hAnsi="Times New Roman"/>
              </w:rPr>
              <w:t>  Inform the Public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712C9B74" w14:textId="77777777">
            <w:pPr>
              <w:widowControl/>
              <w:autoSpaceDE/>
              <w:adjustRightInd/>
              <w:jc w:val="right"/>
              <w:rPr>
                <w:rFonts w:ascii="Times New Roman" w:eastAsia="Calibri" w:hAnsi="Times New Roman"/>
              </w:rPr>
            </w:pPr>
            <w:r>
              <w:rPr>
                <w:rFonts w:ascii="Times New Roman" w:eastAsia="Calibri" w:hAnsi="Times New Roman"/>
              </w:rPr>
              <w:t>$16</w:t>
            </w:r>
          </w:p>
        </w:tc>
      </w:tr>
      <w:tr w14:paraId="43AB26F2"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65A04019" w14:textId="77777777">
            <w:pPr>
              <w:widowControl/>
              <w:autoSpaceDE/>
              <w:adjustRightInd/>
              <w:rPr>
                <w:rFonts w:ascii="Times New Roman" w:eastAsia="Calibri" w:hAnsi="Times New Roman"/>
              </w:rPr>
            </w:pPr>
            <w:r>
              <w:rPr>
                <w:rFonts w:ascii="Times New Roman" w:eastAsia="Calibri" w:hAnsi="Times New Roman"/>
              </w:rPr>
              <w:t>  Intake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4FC7EBBA" w14:textId="77777777">
            <w:pPr>
              <w:widowControl/>
              <w:autoSpaceDE/>
              <w:adjustRightInd/>
              <w:jc w:val="right"/>
              <w:rPr>
                <w:rFonts w:ascii="Times New Roman" w:eastAsia="Calibri" w:hAnsi="Times New Roman"/>
              </w:rPr>
            </w:pPr>
            <w:r>
              <w:rPr>
                <w:rFonts w:ascii="Times New Roman" w:eastAsia="Calibri" w:hAnsi="Times New Roman"/>
              </w:rPr>
              <w:t>$11</w:t>
            </w:r>
          </w:p>
        </w:tc>
      </w:tr>
      <w:tr w14:paraId="5DF684FC"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1801ECBB" w14:textId="77777777">
            <w:pPr>
              <w:widowControl/>
              <w:autoSpaceDE/>
              <w:adjustRightInd/>
              <w:rPr>
                <w:rFonts w:ascii="Times New Roman" w:eastAsia="Calibri" w:hAnsi="Times New Roman"/>
              </w:rPr>
            </w:pPr>
            <w:r>
              <w:rPr>
                <w:rFonts w:ascii="Times New Roman" w:eastAsia="Calibri" w:hAnsi="Times New Roman"/>
              </w:rPr>
              <w:t>  Conduct TECS Check</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1CE37B1B" w14:textId="77777777">
            <w:pPr>
              <w:widowControl/>
              <w:autoSpaceDE/>
              <w:adjustRightInd/>
              <w:jc w:val="right"/>
              <w:rPr>
                <w:rFonts w:ascii="Times New Roman" w:eastAsia="Calibri" w:hAnsi="Times New Roman"/>
              </w:rPr>
            </w:pPr>
            <w:r>
              <w:rPr>
                <w:rFonts w:ascii="Times New Roman" w:eastAsia="Calibri" w:hAnsi="Times New Roman"/>
              </w:rPr>
              <w:t>$50</w:t>
            </w:r>
          </w:p>
        </w:tc>
      </w:tr>
      <w:tr w14:paraId="6BA45876"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5558B101" w14:textId="77777777">
            <w:pPr>
              <w:widowControl/>
              <w:autoSpaceDE/>
              <w:adjustRightInd/>
              <w:rPr>
                <w:rFonts w:ascii="Times New Roman" w:eastAsia="Calibri" w:hAnsi="Times New Roman"/>
              </w:rPr>
            </w:pPr>
            <w:r>
              <w:rPr>
                <w:rFonts w:ascii="Times New Roman" w:eastAsia="Calibri" w:hAnsi="Times New Roman"/>
              </w:rPr>
              <w:t>  Records Management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468B5E10" w14:textId="77777777">
            <w:pPr>
              <w:widowControl/>
              <w:autoSpaceDE/>
              <w:adjustRightInd/>
              <w:jc w:val="right"/>
              <w:rPr>
                <w:rFonts w:ascii="Times New Roman" w:eastAsia="Calibri" w:hAnsi="Times New Roman"/>
              </w:rPr>
            </w:pPr>
            <w:r>
              <w:rPr>
                <w:rFonts w:ascii="Times New Roman" w:eastAsia="Calibri" w:hAnsi="Times New Roman"/>
              </w:rPr>
              <w:t>$36</w:t>
            </w:r>
          </w:p>
        </w:tc>
      </w:tr>
      <w:tr w14:paraId="38014BEB"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1AE2A01B" w14:textId="77777777">
            <w:pPr>
              <w:widowControl/>
              <w:autoSpaceDE/>
              <w:adjustRightInd/>
              <w:rPr>
                <w:rFonts w:ascii="Times New Roman" w:eastAsia="Calibri" w:hAnsi="Times New Roman"/>
              </w:rPr>
            </w:pPr>
            <w:r>
              <w:rPr>
                <w:rFonts w:ascii="Times New Roman" w:eastAsia="Calibri" w:hAnsi="Times New Roman"/>
              </w:rPr>
              <w:t>  Fraud Detection and Prevention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0324DB64" w14:textId="77777777">
            <w:pPr>
              <w:widowControl/>
              <w:autoSpaceDE/>
              <w:adjustRightInd/>
              <w:jc w:val="right"/>
              <w:rPr>
                <w:rFonts w:ascii="Times New Roman" w:eastAsia="Calibri" w:hAnsi="Times New Roman"/>
              </w:rPr>
            </w:pPr>
            <w:r>
              <w:rPr>
                <w:rFonts w:ascii="Times New Roman" w:eastAsia="Calibri" w:hAnsi="Times New Roman"/>
              </w:rPr>
              <w:t>$60</w:t>
            </w:r>
          </w:p>
        </w:tc>
      </w:tr>
      <w:tr w14:paraId="17ABB168"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24CA3FE1" w14:textId="77777777">
            <w:pPr>
              <w:widowControl/>
              <w:autoSpaceDE/>
              <w:adjustRightInd/>
              <w:rPr>
                <w:rFonts w:ascii="Times New Roman" w:eastAsia="Calibri" w:hAnsi="Times New Roman"/>
              </w:rPr>
            </w:pPr>
            <w:r>
              <w:rPr>
                <w:rFonts w:ascii="Times New Roman" w:eastAsia="Calibri" w:hAnsi="Times New Roman"/>
              </w:rPr>
              <w:t>  Make Determination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7E016C7B" w14:textId="77777777">
            <w:pPr>
              <w:widowControl/>
              <w:autoSpaceDE/>
              <w:adjustRightInd/>
              <w:jc w:val="right"/>
              <w:rPr>
                <w:rFonts w:ascii="Times New Roman" w:eastAsia="Calibri" w:hAnsi="Times New Roman"/>
              </w:rPr>
            </w:pPr>
            <w:r>
              <w:rPr>
                <w:rFonts w:ascii="Times New Roman" w:eastAsia="Calibri" w:hAnsi="Times New Roman"/>
              </w:rPr>
              <w:t>$863</w:t>
            </w:r>
          </w:p>
        </w:tc>
      </w:tr>
      <w:tr w14:paraId="629DFF74"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30C1AD09" w14:textId="77777777">
            <w:pPr>
              <w:widowControl/>
              <w:autoSpaceDE/>
              <w:adjustRightInd/>
              <w:rPr>
                <w:rFonts w:ascii="Times New Roman" w:eastAsia="Calibri" w:hAnsi="Times New Roman"/>
              </w:rPr>
            </w:pPr>
            <w:r>
              <w:rPr>
                <w:rFonts w:ascii="Times New Roman" w:eastAsia="Calibri" w:hAnsi="Times New Roman"/>
              </w:rPr>
              <w:t>  Issue Document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11180C56" w14:textId="77777777">
            <w:pPr>
              <w:widowControl/>
              <w:autoSpaceDE/>
              <w:adjustRightInd/>
              <w:jc w:val="right"/>
              <w:rPr>
                <w:rFonts w:ascii="Times New Roman" w:eastAsia="Calibri" w:hAnsi="Times New Roman"/>
              </w:rPr>
            </w:pPr>
            <w:r>
              <w:rPr>
                <w:rFonts w:ascii="Times New Roman" w:eastAsia="Calibri" w:hAnsi="Times New Roman"/>
              </w:rPr>
              <w:t>$15</w:t>
            </w:r>
          </w:p>
        </w:tc>
      </w:tr>
      <w:tr w14:paraId="0737FBAB" w14:textId="77777777" w:rsidTr="0053422D">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43DFB" w:rsidP="0053422D" w14:paraId="625DF887" w14:textId="77777777">
            <w:pPr>
              <w:widowControl/>
              <w:autoSpaceDE/>
              <w:adjustRightInd/>
              <w:rPr>
                <w:rFonts w:ascii="Times New Roman" w:eastAsia="Calibri" w:hAnsi="Times New Roman"/>
              </w:rPr>
            </w:pPr>
            <w:r>
              <w:rPr>
                <w:rFonts w:ascii="Times New Roman" w:eastAsia="Calibri" w:hAnsi="Times New Roman"/>
              </w:rPr>
              <w:t>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43DFB" w:rsidP="0053422D" w14:paraId="4A1448C1" w14:textId="77777777">
            <w:pPr>
              <w:widowControl/>
              <w:autoSpaceDE/>
              <w:adjustRightInd/>
              <w:jc w:val="right"/>
              <w:rPr>
                <w:rFonts w:ascii="Times New Roman" w:eastAsia="Calibri" w:hAnsi="Times New Roman"/>
              </w:rPr>
            </w:pPr>
            <w:r>
              <w:rPr>
                <w:rFonts w:ascii="Times New Roman" w:eastAsia="Calibri" w:hAnsi="Times New Roman"/>
              </w:rPr>
              <w:t>$16</w:t>
            </w:r>
          </w:p>
        </w:tc>
      </w:tr>
    </w:tbl>
    <w:p w:rsidR="00C43DFB" w:rsidP="00C43DFB" w14:paraId="09BE83A6" w14:textId="77777777">
      <w:pPr>
        <w:widowControl/>
        <w:autoSpaceDE/>
        <w:adjustRightInd/>
        <w:rPr>
          <w:rFonts w:ascii="Times New Roman" w:eastAsia="Calibri" w:hAnsi="Times New Roman"/>
        </w:rPr>
      </w:pPr>
    </w:p>
    <w:p w:rsidR="00C43DFB" w:rsidP="00C43DFB" w14:paraId="6CCD3771" w14:textId="77777777">
      <w:pPr>
        <w:widowControl/>
        <w:autoSpaceDE/>
        <w:adjustRightInd/>
        <w:rPr>
          <w:rFonts w:ascii="Times New Roman" w:eastAsia="Calibri" w:hAnsi="Times New Roman"/>
        </w:rPr>
      </w:pPr>
    </w:p>
    <w:p w:rsidR="00C43DFB" w:rsidP="00C43DFB" w14:paraId="17D4D67A" w14:textId="77777777">
      <w:pPr>
        <w:widowControl/>
        <w:autoSpaceDE/>
        <w:adjustRightInd/>
        <w:rPr>
          <w:rFonts w:ascii="Times New Roman" w:eastAsia="Calibri" w:hAnsi="Times New Roman"/>
        </w:rPr>
      </w:pPr>
    </w:p>
    <w:p w:rsidR="00C43DFB" w:rsidP="00C43DFB" w14:paraId="5B34B380" w14:textId="77777777">
      <w:pPr>
        <w:widowControl/>
        <w:autoSpaceDE/>
        <w:adjustRightInd/>
        <w:rPr>
          <w:rFonts w:ascii="Times New Roman" w:eastAsia="Calibri" w:hAnsi="Times New Roman"/>
        </w:rPr>
      </w:pPr>
    </w:p>
    <w:p w:rsidR="00C43DFB" w:rsidP="00C43DFB" w14:paraId="0FD723A6" w14:textId="77777777">
      <w:pPr>
        <w:widowControl/>
        <w:autoSpaceDE/>
        <w:adjustRightInd/>
        <w:rPr>
          <w:rFonts w:ascii="Times New Roman" w:eastAsia="Calibri" w:hAnsi="Times New Roman"/>
        </w:rPr>
      </w:pPr>
    </w:p>
    <w:p w:rsidR="00C43DFB" w:rsidP="00C43DFB" w14:paraId="4B7F4B3B" w14:textId="77777777">
      <w:pPr>
        <w:widowControl/>
        <w:autoSpaceDE/>
        <w:adjustRightInd/>
        <w:rPr>
          <w:rFonts w:ascii="Times New Roman" w:eastAsia="Calibri" w:hAnsi="Times New Roman"/>
        </w:rPr>
      </w:pPr>
    </w:p>
    <w:p w:rsidR="00C43DFB" w:rsidP="00C43DFB" w14:paraId="6D75EB8D" w14:textId="77777777">
      <w:pPr>
        <w:widowControl/>
        <w:autoSpaceDE/>
        <w:adjustRightInd/>
        <w:rPr>
          <w:rFonts w:ascii="Times New Roman" w:eastAsia="Calibri" w:hAnsi="Times New Roman"/>
        </w:rPr>
      </w:pPr>
    </w:p>
    <w:p w:rsidR="00C43DFB" w:rsidP="00C43DFB" w14:paraId="5FDA673F" w14:textId="77777777">
      <w:pPr>
        <w:widowControl/>
        <w:autoSpaceDE/>
        <w:adjustRightInd/>
        <w:rPr>
          <w:rFonts w:ascii="Times New Roman" w:eastAsia="Calibri" w:hAnsi="Times New Roman"/>
        </w:rPr>
      </w:pPr>
    </w:p>
    <w:p w:rsidR="00C43DFB" w:rsidP="00C43DFB" w14:paraId="58B7D2CC" w14:textId="77777777">
      <w:pPr>
        <w:widowControl/>
        <w:autoSpaceDE/>
        <w:adjustRightInd/>
        <w:rPr>
          <w:rFonts w:ascii="Times New Roman" w:eastAsia="Calibri" w:hAnsi="Times New Roman"/>
        </w:rPr>
      </w:pPr>
    </w:p>
    <w:p w:rsidR="00C43DFB" w:rsidP="00C43DFB" w14:paraId="1F1EC011" w14:textId="77777777">
      <w:pPr>
        <w:widowControl/>
        <w:autoSpaceDE/>
        <w:adjustRightInd/>
        <w:rPr>
          <w:rFonts w:ascii="Times New Roman" w:eastAsia="Calibri" w:hAnsi="Times New Roman"/>
          <w:color w:val="1F497D"/>
        </w:rPr>
      </w:pPr>
    </w:p>
    <w:p w:rsidR="00C43DFB" w:rsidRPr="00A37BA7" w:rsidP="00C43DFB" w14:paraId="79BB0B7D" w14:textId="77777777">
      <w:pPr>
        <w:widowControl/>
        <w:autoSpaceDE/>
        <w:adjustRightInd/>
        <w:ind w:left="720"/>
        <w:rPr>
          <w:rFonts w:ascii="Times New Roman" w:eastAsia="Calibri" w:hAnsi="Times New Roman"/>
          <w:bCs/>
        </w:rPr>
      </w:pPr>
      <w:r>
        <w:rPr>
          <w:rFonts w:ascii="Times New Roman" w:eastAsia="Calibri" w:hAnsi="Times New Roman"/>
        </w:rPr>
        <w:t xml:space="preserve">The total estimated cost to the government for processing this type of application is </w:t>
      </w:r>
      <w:r>
        <w:rPr>
          <w:rFonts w:ascii="Times New Roman" w:eastAsia="Calibri" w:hAnsi="Times New Roman"/>
          <w:b/>
        </w:rPr>
        <w:t>$369,539,643 ($1,817 x 203,379)</w:t>
      </w:r>
      <w:r>
        <w:rPr>
          <w:rFonts w:ascii="Times New Roman" w:eastAsia="Calibri" w:hAnsi="Times New Roman"/>
          <w:bCs/>
        </w:rPr>
        <w:t>.</w:t>
      </w:r>
    </w:p>
    <w:p w:rsidR="00C43DFB" w:rsidRPr="00663D52" w:rsidP="00C43DFB" w14:paraId="17B4A6E9" w14:textId="77777777">
      <w:pPr>
        <w:tabs>
          <w:tab w:val="left" w:pos="-1440"/>
        </w:tabs>
        <w:ind w:left="720"/>
        <w:rPr>
          <w:rFonts w:ascii="Times New Roman" w:hAnsi="Times New Roman"/>
        </w:rPr>
      </w:pPr>
    </w:p>
    <w:p w:rsidR="00C43DFB" w:rsidRPr="00914A5D" w:rsidP="00C43DFB" w14:paraId="0873ECB9"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31D56" w:rsidP="00AE2295" w14:paraId="3E284C29" w14:textId="77777777">
      <w:pPr>
        <w:rPr>
          <w:rFonts w:ascii="Times New Roman" w:hAnsi="Times New Roman"/>
        </w:rPr>
      </w:pPr>
    </w:p>
    <w:p w:rsidR="00031D56" w:rsidRPr="00031D56" w:rsidP="00031D56" w14:paraId="16B6648A" w14:textId="468E2108">
      <w:pPr>
        <w:ind w:left="720"/>
        <w:rPr>
          <w:rFonts w:ascii="Times New Roman" w:hAnsi="Times New Roman"/>
        </w:rPr>
      </w:pPr>
      <w:r w:rsidRPr="00031D56">
        <w:rPr>
          <w:rFonts w:ascii="Times New Roman" w:hAnsi="Times New Roman"/>
          <w:bCs/>
        </w:rPr>
        <w:t xml:space="preserve">This information collection has been revised to reflect changes proposed by the </w:t>
      </w:r>
      <w:r w:rsidRPr="0098204B" w:rsidR="0098204B">
        <w:rPr>
          <w:rFonts w:ascii="Times New Roman" w:hAnsi="Times New Roman"/>
        </w:rPr>
        <w:t>Employment Authorization Reform for Asylum Applicants NPRM</w:t>
      </w:r>
      <w:r w:rsidR="0098204B">
        <w:rPr>
          <w:rFonts w:ascii="Times New Roman" w:hAnsi="Times New Roman"/>
        </w:rPr>
        <w:t>.</w:t>
      </w:r>
      <w:r w:rsidRPr="00031D56">
        <w:rPr>
          <w:rFonts w:ascii="Times New Roman" w:hAnsi="Times New Roman"/>
        </w:rPr>
        <w:t xml:space="preserve"> </w:t>
      </w:r>
    </w:p>
    <w:p w:rsidR="00031D56" w:rsidP="00AE2295" w14:paraId="46F45F99" w14:textId="77777777">
      <w:pPr>
        <w:rPr>
          <w:rFonts w:ascii="Times New Roman" w:hAnsi="Times New Roman"/>
        </w:rPr>
      </w:pPr>
    </w:p>
    <w:p w:rsidR="00C43DFB" w:rsidP="00C43DFB" w14:paraId="46802357" w14:textId="60CEF20D">
      <w:pPr>
        <w:ind w:left="720"/>
        <w:rPr>
          <w:rFonts w:ascii="Times New Roman" w:hAnsi="Times New Roman"/>
        </w:rPr>
      </w:pPr>
      <w:r w:rsidRPr="00A02F3D">
        <w:rPr>
          <w:rFonts w:ascii="Times New Roman" w:hAnsi="Times New Roman"/>
        </w:rPr>
        <w:t xml:space="preserve">There is no change to the </w:t>
      </w:r>
      <w:r w:rsidRPr="00A02F3D" w:rsidR="00AE2295">
        <w:rPr>
          <w:rFonts w:ascii="Times New Roman" w:hAnsi="Times New Roman"/>
        </w:rPr>
        <w:t>hour,</w:t>
      </w:r>
      <w:r w:rsidRPr="00A02F3D">
        <w:rPr>
          <w:rFonts w:ascii="Times New Roman" w:hAnsi="Times New Roman"/>
        </w:rPr>
        <w:t xml:space="preserve"> or cost burden estimates associated with this collection of information</w:t>
      </w:r>
      <w:r>
        <w:rPr>
          <w:rFonts w:ascii="Times New Roman" w:hAnsi="Times New Roman"/>
        </w:rPr>
        <w:t xml:space="preserve">. </w:t>
      </w:r>
    </w:p>
    <w:p w:rsidR="00C43DFB" w:rsidRPr="0029577A" w:rsidP="00C43DFB" w14:paraId="3CD891D4" w14:textId="77777777">
      <w:pPr>
        <w:rPr>
          <w:rFonts w:ascii="Times New Roman" w:hAnsi="Times New Roman"/>
        </w:rPr>
      </w:pPr>
    </w:p>
    <w:p w:rsidR="00C43DFB" w:rsidRPr="00D80E94" w:rsidP="00C43DFB" w14:paraId="5B5F47F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C43DFB" w:rsidRPr="00914A5D" w:rsidP="00C43DFB" w14:paraId="715868F4" w14:textId="77777777">
      <w:pPr>
        <w:tabs>
          <w:tab w:val="left" w:pos="-1440"/>
        </w:tabs>
        <w:ind w:left="720"/>
        <w:rPr>
          <w:rFonts w:ascii="Times New Roman" w:hAnsi="Times New Roman"/>
        </w:rPr>
      </w:pPr>
    </w:p>
    <w:p w:rsidR="00C43DFB" w:rsidRPr="00B1471A" w:rsidP="00C43DFB" w14:paraId="67BF4882"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C43DFB" w:rsidRPr="000B00D2" w:rsidP="00C43DFB" w14:paraId="304D8469" w14:textId="77777777">
      <w:pPr>
        <w:ind w:left="720"/>
        <w:rPr>
          <w:rFonts w:ascii="Times New Roman" w:hAnsi="Times New Roman"/>
        </w:rPr>
      </w:pPr>
    </w:p>
    <w:p w:rsidR="00C43DFB" w:rsidRPr="008A4764" w:rsidP="00C43DFB" w14:paraId="28DD7A2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C43DFB" w:rsidRPr="008A4764" w:rsidP="00C43DFB" w14:paraId="53A4D581" w14:textId="77777777">
      <w:pPr>
        <w:tabs>
          <w:tab w:val="left" w:pos="-1440"/>
        </w:tabs>
        <w:ind w:left="720"/>
        <w:rPr>
          <w:rFonts w:ascii="Times New Roman" w:hAnsi="Times New Roman"/>
        </w:rPr>
      </w:pPr>
    </w:p>
    <w:p w:rsidR="00C43DFB" w:rsidRPr="00B1471A" w:rsidP="00C43DFB" w14:paraId="759FA8CD"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C43DFB" w:rsidRPr="000B00D2" w:rsidP="00C43DFB" w14:paraId="091BB2BE" w14:textId="77777777">
      <w:pPr>
        <w:ind w:left="720"/>
        <w:rPr>
          <w:rFonts w:ascii="Times New Roman" w:hAnsi="Times New Roman"/>
        </w:rPr>
      </w:pPr>
    </w:p>
    <w:p w:rsidR="00C43DFB" w:rsidRPr="00B1471A" w:rsidP="00C43DFB" w14:paraId="06A4D6A7"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C43DFB" w:rsidRPr="000B00D2" w:rsidP="00C43DFB" w14:paraId="7CCB7DE9" w14:textId="77777777">
      <w:pPr>
        <w:tabs>
          <w:tab w:val="left" w:pos="-1440"/>
        </w:tabs>
        <w:ind w:left="720"/>
        <w:rPr>
          <w:rFonts w:ascii="Times New Roman" w:hAnsi="Times New Roman"/>
        </w:rPr>
      </w:pPr>
    </w:p>
    <w:p w:rsidR="00C43DFB" w:rsidRPr="00B1471A" w:rsidP="00C43DFB" w14:paraId="25AA4B2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C43DFB" w:rsidRPr="000B00D2" w:rsidP="00C43DFB" w14:paraId="11120C95" w14:textId="77777777">
      <w:pPr>
        <w:ind w:left="720"/>
        <w:rPr>
          <w:rFonts w:ascii="Times New Roman" w:hAnsi="Times New Roman"/>
        </w:rPr>
      </w:pPr>
    </w:p>
    <w:p w:rsidR="00C43DFB" w:rsidRPr="00914A5D" w:rsidP="00C43DFB" w14:paraId="7C797BC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Pr>
          <w:rFonts w:ascii="Times New Roman" w:hAnsi="Times New Roman"/>
          <w:b/>
        </w:rPr>
        <w:t xml:space="preserve">. </w:t>
      </w:r>
      <w:r w:rsidRPr="00914A5D">
        <w:rPr>
          <w:rFonts w:ascii="Times New Roman" w:hAnsi="Times New Roman"/>
          <w:b/>
        </w:rPr>
        <w:t>Collections of Information Employing Statistical Methods.</w:t>
      </w:r>
    </w:p>
    <w:p w:rsidR="00C43DFB" w:rsidRPr="00914A5D" w:rsidP="00C43DFB" w14:paraId="5B8F7935" w14:textId="77777777">
      <w:pPr>
        <w:widowControl/>
        <w:tabs>
          <w:tab w:val="left" w:pos="-720"/>
        </w:tabs>
        <w:suppressAutoHyphens/>
        <w:autoSpaceDE/>
        <w:autoSpaceDN/>
        <w:adjustRightInd/>
        <w:ind w:left="720"/>
        <w:rPr>
          <w:rFonts w:ascii="Arial" w:hAnsi="Arial" w:cs="Arial"/>
        </w:rPr>
      </w:pPr>
    </w:p>
    <w:p w:rsidR="00C43DFB" w:rsidRPr="00914A5D" w:rsidP="00C43DFB" w14:paraId="2A29CB55"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C43DFB" w:rsidP="00C43DFB" w14:paraId="206A56FE" w14:textId="77777777">
      <w:pPr>
        <w:tabs>
          <w:tab w:val="left" w:pos="-1440"/>
        </w:tabs>
        <w:ind w:left="720"/>
        <w:jc w:val="both"/>
      </w:pPr>
    </w:p>
    <w:p w:rsidR="00E91139" w:rsidRPr="00C43DFB" w:rsidP="00C43DFB" w14:paraId="58EC54B5" w14:textId="77777777"/>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0B60079"/>
    <w:multiLevelType w:val="hybridMultilevel"/>
    <w:tmpl w:val="BD46C5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62F102B0"/>
    <w:multiLevelType w:val="hybridMultilevel"/>
    <w:tmpl w:val="B3983A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81975962">
    <w:abstractNumId w:val="6"/>
  </w:num>
  <w:num w:numId="2" w16cid:durableId="152962261">
    <w:abstractNumId w:val="0"/>
  </w:num>
  <w:num w:numId="3" w16cid:durableId="507598422">
    <w:abstractNumId w:val="5"/>
  </w:num>
  <w:num w:numId="4" w16cid:durableId="1482309894">
    <w:abstractNumId w:val="7"/>
  </w:num>
  <w:num w:numId="5" w16cid:durableId="249705928">
    <w:abstractNumId w:val="1"/>
  </w:num>
  <w:num w:numId="6" w16cid:durableId="1957248668">
    <w:abstractNumId w:val="4"/>
  </w:num>
  <w:num w:numId="7" w16cid:durableId="331879620">
    <w:abstractNumId w:val="3"/>
  </w:num>
  <w:num w:numId="8" w16cid:durableId="1028792881">
    <w:abstractNumId w:val="2"/>
  </w:num>
  <w:num w:numId="9" w16cid:durableId="1060052907">
    <w:abstractNumId w:val="10"/>
  </w:num>
  <w:num w:numId="10" w16cid:durableId="1208224495">
    <w:abstractNumId w:val="9"/>
  </w:num>
  <w:num w:numId="11" w16cid:durableId="124583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FFE"/>
    <w:rsid w:val="00031D56"/>
    <w:rsid w:val="000712DA"/>
    <w:rsid w:val="00080CE0"/>
    <w:rsid w:val="00093DB1"/>
    <w:rsid w:val="000A42FA"/>
    <w:rsid w:val="000B00D2"/>
    <w:rsid w:val="000C3216"/>
    <w:rsid w:val="000C5D1D"/>
    <w:rsid w:val="000D6A0C"/>
    <w:rsid w:val="000F1A9A"/>
    <w:rsid w:val="0010769F"/>
    <w:rsid w:val="001415B0"/>
    <w:rsid w:val="0019320E"/>
    <w:rsid w:val="001A595D"/>
    <w:rsid w:val="001A6D21"/>
    <w:rsid w:val="001C1A4D"/>
    <w:rsid w:val="001F67BB"/>
    <w:rsid w:val="0020110E"/>
    <w:rsid w:val="00215244"/>
    <w:rsid w:val="0029577A"/>
    <w:rsid w:val="002A4A73"/>
    <w:rsid w:val="002B6812"/>
    <w:rsid w:val="002C3934"/>
    <w:rsid w:val="002E199D"/>
    <w:rsid w:val="002E7594"/>
    <w:rsid w:val="003338D4"/>
    <w:rsid w:val="00387C22"/>
    <w:rsid w:val="0039427E"/>
    <w:rsid w:val="003A0F52"/>
    <w:rsid w:val="003C6F5B"/>
    <w:rsid w:val="00494557"/>
    <w:rsid w:val="004F3779"/>
    <w:rsid w:val="00525E40"/>
    <w:rsid w:val="0053422D"/>
    <w:rsid w:val="00540242"/>
    <w:rsid w:val="0054153D"/>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677A5"/>
    <w:rsid w:val="00792B9D"/>
    <w:rsid w:val="007B32A5"/>
    <w:rsid w:val="007C03A1"/>
    <w:rsid w:val="007E6F17"/>
    <w:rsid w:val="007F5988"/>
    <w:rsid w:val="007F70DB"/>
    <w:rsid w:val="00807BA2"/>
    <w:rsid w:val="00812528"/>
    <w:rsid w:val="0081460B"/>
    <w:rsid w:val="008255EE"/>
    <w:rsid w:val="00833B6C"/>
    <w:rsid w:val="00847763"/>
    <w:rsid w:val="008A42B6"/>
    <w:rsid w:val="008A4764"/>
    <w:rsid w:val="008D0F4C"/>
    <w:rsid w:val="008D46E6"/>
    <w:rsid w:val="008D7291"/>
    <w:rsid w:val="008F233F"/>
    <w:rsid w:val="008F74F4"/>
    <w:rsid w:val="009147A2"/>
    <w:rsid w:val="00914A5D"/>
    <w:rsid w:val="00921351"/>
    <w:rsid w:val="00944A8A"/>
    <w:rsid w:val="009556EE"/>
    <w:rsid w:val="00974223"/>
    <w:rsid w:val="0098204B"/>
    <w:rsid w:val="009C795F"/>
    <w:rsid w:val="009D1DF6"/>
    <w:rsid w:val="009D3B71"/>
    <w:rsid w:val="009D5D2B"/>
    <w:rsid w:val="009F15D0"/>
    <w:rsid w:val="00A02F3D"/>
    <w:rsid w:val="00A05B27"/>
    <w:rsid w:val="00A16D82"/>
    <w:rsid w:val="00A3466A"/>
    <w:rsid w:val="00A37BA7"/>
    <w:rsid w:val="00A447D7"/>
    <w:rsid w:val="00A5237F"/>
    <w:rsid w:val="00A56B2D"/>
    <w:rsid w:val="00A847D1"/>
    <w:rsid w:val="00AE2295"/>
    <w:rsid w:val="00AF45F2"/>
    <w:rsid w:val="00AF5D8A"/>
    <w:rsid w:val="00B0571D"/>
    <w:rsid w:val="00B1471A"/>
    <w:rsid w:val="00B27061"/>
    <w:rsid w:val="00B31EBB"/>
    <w:rsid w:val="00B635A9"/>
    <w:rsid w:val="00B7349D"/>
    <w:rsid w:val="00BD3260"/>
    <w:rsid w:val="00BE3C63"/>
    <w:rsid w:val="00C04531"/>
    <w:rsid w:val="00C3345E"/>
    <w:rsid w:val="00C425CE"/>
    <w:rsid w:val="00C43DFB"/>
    <w:rsid w:val="00C62A1F"/>
    <w:rsid w:val="00C9224C"/>
    <w:rsid w:val="00C97339"/>
    <w:rsid w:val="00CD6788"/>
    <w:rsid w:val="00CD6D53"/>
    <w:rsid w:val="00D049AD"/>
    <w:rsid w:val="00D118B8"/>
    <w:rsid w:val="00D15779"/>
    <w:rsid w:val="00D22B13"/>
    <w:rsid w:val="00D3204A"/>
    <w:rsid w:val="00D3403B"/>
    <w:rsid w:val="00D57BA2"/>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80549"/>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nhideWhenUsed/>
    <w:rsid w:val="00C43DFB"/>
    <w:pPr>
      <w:widowControl/>
      <w:autoSpaceDE/>
      <w:autoSpaceDN/>
      <w:adjustRightInd/>
      <w:spacing w:before="100" w:beforeAutospacing="1" w:after="240"/>
    </w:pPr>
    <w:rPr>
      <w:rFonts w:ascii="Times New Roman" w:hAnsi="Times New Roman"/>
    </w:rPr>
  </w:style>
  <w:style w:type="paragraph" w:customStyle="1" w:styleId="Default">
    <w:name w:val="Default"/>
    <w:rsid w:val="00C43DFB"/>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3C6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589" TargetMode="External" /><Relationship Id="rId8" Type="http://schemas.openxmlformats.org/officeDocument/2006/relationships/hyperlink" Target="http://www.justice.gov/eoir/formslist.htm" TargetMode="Externa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1FD1CA3C-C988-452D-AED6-CCAAAD5584CA}">
  <ds:schemaRefs>
    <ds:schemaRef ds:uri="http://purl.org/dc/terms/"/>
    <ds:schemaRef ds:uri="http://purl.org/dc/dcmitype/"/>
    <ds:schemaRef ds:uri="http://schemas.microsoft.com/sharepoint/v3"/>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22ac6cab-782d-443c-b600-8507bc21811b"/>
    <ds:schemaRef ds:uri="bbf7bcff-9837-4235-a062-b68f933b20a3"/>
    <ds:schemaRef ds:uri="http://www.w3.org/XML/1998/namespace"/>
    <ds:schemaRef ds:uri="http://purl.org/dc/elements/1.1/"/>
  </ds:schemaRefs>
</ds:datastoreItem>
</file>

<file path=customXml/itemProps3.xml><?xml version="1.0" encoding="utf-8"?>
<ds:datastoreItem xmlns:ds="http://schemas.openxmlformats.org/officeDocument/2006/customXml" ds:itemID="{5F386BCA-2E48-4EDC-98F8-68CA2D1381B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3424</Words>
  <Characters>19368</Characters>
  <Application>Microsoft Office Word</Application>
  <DocSecurity>0</DocSecurity>
  <Lines>1291</Lines>
  <Paragraphs>156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Avendano, Manuel A</cp:lastModifiedBy>
  <cp:revision>8</cp:revision>
  <cp:lastPrinted>2010-05-14T16:20:00Z</cp:lastPrinted>
  <dcterms:created xsi:type="dcterms:W3CDTF">2022-06-17T16:50:00Z</dcterms:created>
  <dcterms:modified xsi:type="dcterms:W3CDTF">2025-10-21T19:43:00Z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