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normal0"/>
        <w:rPr>
          <w:b/>
          <w:bCs/>
        </w:rPr>
      </w:pPr>
      <w:r w:rsidRPr="00000000">
        <w:rPr>
          <w:b/>
          <w:bCs/>
          <w:rtl w:val="0"/>
        </w:rPr>
        <w:t xml:space="preserve">OCC </w:t>
      </w:r>
    </w:p>
    <w:p w:rsidR="00000000" w:rsidRPr="00000000" w:rsidP="00000000" w14:paraId="00000002">
      <w:pPr>
        <w:pStyle w:val="normal0"/>
      </w:pPr>
      <w:r w:rsidRPr="00000000">
        <w:rPr>
          <w:rtl w:val="0"/>
        </w:rPr>
        <w:t>Final submission date: February 17, 2026</w:t>
      </w:r>
    </w:p>
    <w:p w:rsidR="00000000" w:rsidRPr="00000000" w:rsidP="00000000" w14:paraId="00000003">
      <w:pPr>
        <w:pStyle w:val="normal0"/>
      </w:pPr>
    </w:p>
    <w:p w:rsidR="00000000" w:rsidRPr="00000000" w:rsidP="00000000" w14:paraId="00000004">
      <w:pPr>
        <w:pStyle w:val="normal0"/>
      </w:pPr>
      <w:r w:rsidRPr="00000000">
        <w:rPr>
          <w:rtl w:val="0"/>
        </w:rPr>
        <w:t>February 6, 2026</w:t>
      </w:r>
    </w:p>
    <w:p w:rsidR="00000000" w:rsidRPr="00000000" w:rsidP="00000000" w14:paraId="00000005">
      <w:pPr>
        <w:pStyle w:val="normal0"/>
      </w:pPr>
    </w:p>
    <w:p w:rsidR="00000000" w:rsidRPr="00000000" w:rsidP="00000000" w14:paraId="00000006">
      <w:pPr>
        <w:pStyle w:val="normal0"/>
      </w:pPr>
      <w:r w:rsidRPr="00000000">
        <w:rPr>
          <w:rtl w:val="0"/>
        </w:rPr>
        <w:t xml:space="preserve">Submitted via E-Mail at: </w:t>
      </w:r>
      <w:hyperlink r:id="rId5">
        <w:r w:rsidRPr="00000000">
          <w:rPr>
            <w:color w:val="1155CC"/>
            <w:u w:val="single"/>
            <w:rtl w:val="0"/>
          </w:rPr>
          <w:t>prainfo@occ.treas.gov</w:t>
        </w:r>
      </w:hyperlink>
    </w:p>
    <w:p w:rsidR="00000000" w:rsidRPr="00000000" w:rsidP="00000000" w14:paraId="00000007">
      <w:pPr>
        <w:pStyle w:val="normal0"/>
      </w:pPr>
    </w:p>
    <w:p w:rsidR="00000000" w:rsidRPr="00000000" w:rsidP="00000000" w14:paraId="00000008">
      <w:pPr>
        <w:pStyle w:val="normal0"/>
      </w:pPr>
      <w:r w:rsidRPr="00000000">
        <w:rPr>
          <w:rtl w:val="0"/>
        </w:rPr>
        <w:t>Chief Counsel's Office</w:t>
      </w:r>
    </w:p>
    <w:p w:rsidR="00000000" w:rsidRPr="00000000" w:rsidP="00000000" w14:paraId="00000009">
      <w:pPr>
        <w:pStyle w:val="normal0"/>
      </w:pPr>
      <w:r w:rsidRPr="00000000">
        <w:rPr>
          <w:rtl w:val="0"/>
        </w:rPr>
        <w:t xml:space="preserve">Attention: Comment Processing, Office of the Comptroller of the Currency, </w:t>
      </w:r>
    </w:p>
    <w:p w:rsidR="00000000" w:rsidRPr="00000000" w:rsidP="00000000" w14:paraId="0000000A">
      <w:pPr>
        <w:pStyle w:val="normal0"/>
      </w:pPr>
      <w:r w:rsidRPr="00000000">
        <w:rPr>
          <w:rtl w:val="0"/>
        </w:rPr>
        <w:t xml:space="preserve">Attention: 1557-0346, </w:t>
      </w:r>
    </w:p>
    <w:p w:rsidR="00000000" w:rsidRPr="00000000" w:rsidP="00000000" w14:paraId="0000000B">
      <w:pPr>
        <w:pStyle w:val="normal0"/>
      </w:pPr>
      <w:r w:rsidRPr="00000000">
        <w:rPr>
          <w:rtl w:val="0"/>
        </w:rPr>
        <w:t xml:space="preserve">400 7th Street SW, Suite 3E-218, </w:t>
      </w:r>
    </w:p>
    <w:p w:rsidR="00000000" w:rsidRPr="00000000" w:rsidP="00000000" w14:paraId="0000000C">
      <w:pPr>
        <w:pStyle w:val="normal0"/>
      </w:pPr>
      <w:r w:rsidRPr="00000000">
        <w:rPr>
          <w:rtl w:val="0"/>
        </w:rPr>
        <w:t>Washington, DC 20219.</w:t>
      </w:r>
    </w:p>
    <w:p w:rsidR="00000000" w:rsidRPr="00000000" w:rsidP="00000000" w14:paraId="0000000D">
      <w:pPr>
        <w:pStyle w:val="normal0"/>
      </w:pPr>
    </w:p>
    <w:p w:rsidR="00000000" w:rsidRPr="00000000" w:rsidP="00000000" w14:paraId="0000000E">
      <w:pPr>
        <w:pStyle w:val="normal0"/>
        <w:spacing w:line="240" w:lineRule="auto"/>
        <w:ind w:firstLine="720"/>
        <w:rPr>
          <w:rFonts w:ascii="Times New Roman" w:eastAsia="Times New Roman" w:hAnsi="Times New Roman" w:cs="Times New Roman"/>
          <w:b/>
          <w:bCs/>
        </w:rPr>
      </w:pPr>
      <w:r w:rsidRPr="00000000">
        <w:rPr>
          <w:rFonts w:ascii="Times New Roman" w:eastAsia="Times New Roman" w:hAnsi="Times New Roman" w:cs="Times New Roman"/>
          <w:b/>
          <w:bCs/>
          <w:rtl w:val="0"/>
        </w:rPr>
        <w:t xml:space="preserve">Re: </w:t>
        <w:tab/>
        <w:t xml:space="preserve">Notice and Request for Comment: Regulation E - Prepaid Accounts </w:t>
      </w:r>
    </w:p>
    <w:p w:rsidR="00000000" w:rsidRPr="00000000" w:rsidP="00000000" w14:paraId="0000000F">
      <w:pPr>
        <w:pStyle w:val="normal0"/>
        <w:spacing w:line="240" w:lineRule="auto"/>
        <w:ind w:left="720" w:firstLine="720"/>
      </w:pPr>
      <w:r w:rsidRPr="00000000">
        <w:rPr>
          <w:rFonts w:ascii="Times New Roman" w:eastAsia="Times New Roman" w:hAnsi="Times New Roman" w:cs="Times New Roman"/>
          <w:b/>
          <w:bCs/>
          <w:rtl w:val="0"/>
        </w:rPr>
        <w:t>(OCC - 1557-0346)</w:t>
      </w:r>
    </w:p>
    <w:p w:rsidR="00000000" w:rsidRPr="00000000" w:rsidP="00000000" w14:paraId="00000010">
      <w:pPr>
        <w:pStyle w:val="normal0"/>
      </w:pPr>
    </w:p>
    <w:p w:rsidR="00000000" w:rsidRPr="00000000" w:rsidP="00000000" w14:paraId="00000011">
      <w:pPr>
        <w:pStyle w:val="normal0"/>
      </w:pPr>
      <w:r w:rsidRPr="00000000">
        <w:rPr>
          <w:rtl w:val="0"/>
        </w:rPr>
        <w:t>Dear Comptroller Gould:</w:t>
      </w:r>
    </w:p>
    <w:p w:rsidR="00000000" w:rsidRPr="00000000" w:rsidP="00000000" w14:paraId="00000012">
      <w:pPr>
        <w:pStyle w:val="normal0"/>
      </w:pPr>
    </w:p>
    <w:p w:rsidR="00000000" w:rsidRPr="00000000" w:rsidP="00000000" w14:paraId="00000013">
      <w:pPr>
        <w:pStyle w:val="normal0"/>
      </w:pPr>
      <w:r w:rsidRPr="00000000">
        <w:rPr>
          <w:rtl w:val="0"/>
        </w:rPr>
        <w:t xml:space="preserve">iLEX is submitting this letter in response to the OCC’s Notice and Request for Comment for Regulation E - Prepaid Accounts, </w:t>
      </w:r>
      <w:r w:rsidRPr="00000000">
        <w:rPr>
          <w:rtl w:val="0"/>
        </w:rPr>
        <w:t xml:space="preserve"> published in the federal register on December 16, 2025 (the “Request”), as part of the agency’s continuing effort to reduce paperwork and respondent burden pursuant to the Paperwork Reduction Act of 1995.</w:t>
      </w:r>
    </w:p>
    <w:p w:rsidR="00000000" w:rsidRPr="00000000" w:rsidP="00000000" w14:paraId="00000014">
      <w:pPr>
        <w:pStyle w:val="normal0"/>
      </w:pPr>
    </w:p>
    <w:p w:rsidR="00000000" w:rsidRPr="00000000" w:rsidP="00000000" w14:paraId="00000015">
      <w:pPr>
        <w:pStyle w:val="normal0"/>
      </w:pPr>
      <w:r w:rsidRPr="00000000">
        <w:rPr>
          <w:rtl w:val="0"/>
        </w:rPr>
        <w:t>In relation to the collection of information, the CFPB’s 2016 Prepaid Account Final Rule (Prepaid Rule), modified Regulation E requirements for covered prepaid accounts and is in need of updating to reflect changes in personal banking over the past ten years. We support the Innovative Payments Association’s (IPA) request that the Prepaid Rule be streamlined and modernized to remove the long form fee disclosure. The information it is designed to provide to customers is already provided via the short form yet both short and long fee disclosure forms are required prior to a consumer opening a prepaid account. This is both redundant and confusing, particularly when the same customer will also receive a cardholder agreement describing the terms and conditions of use, product related fees, and any additional disclosures required under relevant state law.</w:t>
      </w:r>
    </w:p>
    <w:p w:rsidR="00000000" w:rsidRPr="00000000" w:rsidP="00000000" w14:paraId="00000016">
      <w:pPr>
        <w:pStyle w:val="normal0"/>
      </w:pPr>
    </w:p>
    <w:p w:rsidR="00000000" w:rsidRPr="00000000" w:rsidP="00000000" w14:paraId="00000017">
      <w:pPr>
        <w:pStyle w:val="normal0"/>
        <w:ind w:left="0" w:firstLine="0"/>
      </w:pPr>
      <w:r w:rsidRPr="00000000">
        <w:rPr>
          <w:rtl w:val="0"/>
        </w:rPr>
        <w:t>The Prepaid Rule currently requires that account issuers provide written transaction histories of up to 24 months at no charge provided no more than one request per month is received from the customer. Over the past ten years since the Prepaid Rule was finalized, we have all become very used to retrieving our online data directly, and requiring account issuers to continue to provide written documentation seems unnecessary, and potentially costly and time consuming. We urge the OCC to remove this requirement and simply require that account issuers provide customers access to their data online for whatever stated period is deemed reasonable.</w:t>
      </w:r>
    </w:p>
    <w:p w:rsidR="00000000" w:rsidRPr="00000000" w:rsidP="00000000" w14:paraId="00000018">
      <w:pPr>
        <w:pStyle w:val="normal0"/>
        <w:ind w:left="0" w:firstLine="0"/>
      </w:pPr>
    </w:p>
    <w:p w:rsidR="00000000" w:rsidRPr="00000000" w:rsidP="00000000" w14:paraId="00000019">
      <w:pPr>
        <w:pStyle w:val="normal0"/>
        <w:ind w:left="0" w:firstLine="0"/>
      </w:pPr>
      <w:r w:rsidRPr="00000000">
        <w:rPr>
          <w:rtl w:val="0"/>
        </w:rPr>
        <w:t>The OCC is requesting estimates of capital or start-up costs and costs of operation, maintenance, and purchase of services to provide information. While iLEX does not have estimates, we are aware that our clients, new and existing FinTechs and their bank partners, can spend considerable time and money developing systems to meet regulatory requirements. Currently, under the CFPB Prepaid Rule, this includes the requirement that electronic disclosures be in a responsive form and viewable across all screen sizes. This can create a substantial technology development burden, while access to documentation could be managed through a pdf format that would allow electronic disclosures to be displayed on varying sized screens. Technology has moved ahead in the years since the Prepaid Rule was finalized with many customers now conducting most if not all of their banking via mobile phones with pdf readers easily available.</w:t>
      </w:r>
    </w:p>
    <w:p w:rsidR="00000000" w:rsidRPr="00000000" w:rsidP="00000000" w14:paraId="0000001A">
      <w:pPr>
        <w:pStyle w:val="normal0"/>
        <w:keepNext w:val="0"/>
        <w:keepLines w:val="0"/>
        <w:pageBreakBefore w:val="0"/>
        <w:widowControl/>
        <w:pBdr>
          <w:top w:val="nil"/>
          <w:left w:val="nil"/>
          <w:bottom w:val="nil"/>
          <w:right w:val="nil"/>
          <w:between w:val="nil"/>
        </w:pBdr>
        <w:shd w:val="clear" w:color="auto" w:fill="auto"/>
        <w:spacing w:before="0" w:after="0" w:line="276" w:lineRule="auto"/>
        <w:ind w:left="0" w:right="0" w:firstLine="0"/>
        <w:jc w:val="left"/>
      </w:pPr>
    </w:p>
    <w:p w:rsidR="00000000" w:rsidRPr="00000000" w:rsidP="00000000" w14:paraId="0000001B">
      <w:pPr>
        <w:pStyle w:val="normal0"/>
      </w:pPr>
      <w:r w:rsidRPr="00000000">
        <w:rPr>
          <w:rtl w:val="0"/>
        </w:rPr>
        <w:t>As things currently stand, compliance costs related to creating and maintaining redundant disclosures, policies and procedures around these disclosures, and providing customers with outdated hard copy data, are borne primarily by FinTechs. These unnecessary requirements and subsequent costs make it unattractive for FinTechs to offer prepaid products at the same time that their popularity and use are reportedly increasing</w:t>
      </w:r>
      <w:r>
        <w:rPr>
          <w:vertAlign w:val="superscript"/>
        </w:rPr>
        <w:footnoteReference w:id="2"/>
      </w:r>
      <w:r w:rsidRPr="00000000">
        <w:rPr>
          <w:rtl w:val="0"/>
        </w:rPr>
        <w:t>. This in turn lowers the competitiveness within the prepaid market.</w:t>
      </w:r>
    </w:p>
    <w:p w:rsidR="00000000" w:rsidRPr="00000000" w:rsidP="00000000" w14:paraId="0000001C">
      <w:pPr>
        <w:pStyle w:val="normal0"/>
        <w:rPr>
          <w:highlight w:val="yellow"/>
        </w:rPr>
      </w:pPr>
    </w:p>
    <w:p w:rsidR="00000000" w:rsidRPr="00000000" w:rsidP="00000000" w14:paraId="0000001D">
      <w:pPr>
        <w:pStyle w:val="normal0"/>
      </w:pPr>
      <w:r w:rsidRPr="00000000">
        <w:rPr>
          <w:rtl w:val="0"/>
        </w:rPr>
        <w:t xml:space="preserve">iLEX appreciates your consideration of these comments. If you have any questions or wish to discuss this letter, please contact me at </w:t>
      </w:r>
      <w:hyperlink r:id="rId6">
        <w:r w:rsidRPr="00000000">
          <w:rPr>
            <w:color w:val="1155CC"/>
            <w:u w:val="single"/>
            <w:rtl w:val="0"/>
          </w:rPr>
          <w:t>joyce@ilexggroupllc.com</w:t>
        </w:r>
      </w:hyperlink>
    </w:p>
    <w:p w:rsidR="00000000" w:rsidRPr="00000000" w:rsidP="00000000" w14:paraId="0000001E">
      <w:pPr>
        <w:pStyle w:val="normal0"/>
      </w:pPr>
    </w:p>
    <w:p w:rsidR="00000000" w:rsidRPr="00000000" w:rsidP="00000000" w14:paraId="0000001F">
      <w:pPr>
        <w:pStyle w:val="normal0"/>
      </w:pPr>
      <w:r w:rsidRPr="00000000">
        <w:rPr>
          <w:rtl w:val="0"/>
        </w:rPr>
        <w:t>Sincerely,</w:t>
      </w:r>
    </w:p>
    <w:p w:rsidR="00000000" w:rsidRPr="00000000" w:rsidP="00000000" w14:paraId="00000020">
      <w:pPr>
        <w:pStyle w:val="normal0"/>
      </w:pPr>
    </w:p>
    <w:p w:rsidR="00000000" w:rsidRPr="00000000" w:rsidP="00000000" w14:paraId="00000021">
      <w:pPr>
        <w:pStyle w:val="normal0"/>
      </w:pPr>
      <w:r w:rsidRPr="00000000">
        <w:rPr>
          <w:rtl w:val="0"/>
        </w:rPr>
        <w:t>Joyce Mahlman</w:t>
      </w:r>
    </w:p>
    <w:p w:rsidR="00000000" w:rsidRPr="00000000" w:rsidP="00000000" w14:paraId="00000022">
      <w:pPr>
        <w:pStyle w:val="normal0"/>
      </w:pPr>
      <w:r w:rsidRPr="00000000">
        <w:rPr>
          <w:rtl w:val="0"/>
        </w:rPr>
        <w:t>Founder and CEO</w:t>
      </w:r>
    </w:p>
    <w:p w:rsidR="00000000" w:rsidRPr="00000000" w:rsidP="00000000" w14:paraId="00000023">
      <w:pPr>
        <w:pStyle w:val="normal0"/>
      </w:pPr>
      <w:r w:rsidRPr="00000000">
        <w:rPr>
          <w:rtl w:val="0"/>
        </w:rPr>
        <w:t>iLEX Consulting Group LLC</w:t>
      </w:r>
    </w:p>
    <w:p w:rsidR="00000000" w:rsidRPr="00000000" w:rsidP="00000000" w14:paraId="00000024">
      <w:pPr>
        <w:pStyle w:val="normal0"/>
        <w:keepNext w:val="0"/>
        <w:keepLines w:val="0"/>
        <w:pageBreakBefore w:val="0"/>
        <w:widowControl/>
        <w:pBdr>
          <w:top w:val="nil"/>
          <w:left w:val="nil"/>
          <w:bottom w:val="nil"/>
          <w:right w:val="nil"/>
          <w:between w:val="nil"/>
        </w:pBdr>
        <w:shd w:val="clear" w:color="auto" w:fill="auto"/>
        <w:spacing w:before="0" w:after="0" w:line="276" w:lineRule="auto"/>
        <w:ind w:left="0" w:right="0" w:firstLine="0"/>
        <w:jc w:val="left"/>
      </w:pPr>
    </w:p>
    <w:sectPr>
      <w:pgSz w:w="12240" w:h="15840" w:orient="portrait"/>
      <w:pgMar w:top="1440" w:right="1440" w:bottom="1440" w:left="1440" w:header="72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charset w:val="00"/>
    <w:family w:val="auto"/>
    <w:pitch w:val="default"/>
  </w:font>
  <w:font w:name="Times New Roman">
    <w:charset w:val="00"/>
    <w:family w:val="auto"/>
    <w:pitch w:val="default"/>
  </w:font>
  <w:font w:name="Calibri">
    <w:charset w:val="00"/>
    <w:family w:val="auto"/>
    <w:pitch w:val="default"/>
  </w:font>
  <w:font w:name="Cambri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 w:id="2">
    <w:p w:rsidR="00000000" w:rsidRPr="00000000" w:rsidP="00000000" w14:paraId="00000025">
      <w:pPr>
        <w:pStyle w:val="normal0"/>
        <w:spacing w:line="240" w:lineRule="auto"/>
        <w:rPr>
          <w:sz w:val="20"/>
          <w:szCs w:val="20"/>
        </w:rPr>
      </w:pPr>
      <w:r w:rsidRPr="00000000">
        <w:rPr>
          <w:rStyle w:val="DefaultParagraphFont"/>
          <w:vertAlign w:val="superscript"/>
        </w:rPr>
        <w:footnoteRef/>
      </w:r>
      <w:r w:rsidRPr="00000000">
        <w:rPr>
          <w:sz w:val="20"/>
          <w:szCs w:val="20"/>
          <w:rtl w:val="0"/>
        </w:rPr>
        <w:t xml:space="preserve"> </w:t>
      </w:r>
      <w:hyperlink r:id="rId1">
        <w:r w:rsidRPr="00000000">
          <w:rPr>
            <w:color w:val="1155CC"/>
            <w:sz w:val="20"/>
            <w:szCs w:val="20"/>
            <w:u w:val="single"/>
            <w:rtl w:val="0"/>
          </w:rPr>
          <w:t>Top US Giants Dominating the Prepaid Card Market</w:t>
        </w:r>
      </w:hyperlink>
      <w:r w:rsidRPr="00000000">
        <w:rPr>
          <w:sz w:val="20"/>
          <w:szCs w:val="20"/>
          <w:rtl w:val="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keepLines/>
      <w:pageBreakBefore w:val="0"/>
      <w:spacing w:before="400" w:after="120"/>
      <w:outlineLvl w:val="0"/>
    </w:pPr>
    <w:rPr>
      <w:sz w:val="40"/>
      <w:szCs w:val="40"/>
    </w:rPr>
  </w:style>
  <w:style w:type="paragraph" w:styleId="Heading2">
    <w:name w:val="heading 2"/>
    <w:basedOn w:val="normal0"/>
    <w:next w:val="normal0"/>
    <w:pPr>
      <w:keepNext/>
      <w:keepLines/>
      <w:pageBreakBefore w:val="0"/>
      <w:spacing w:before="360" w:after="120"/>
      <w:outlineLvl w:val="1"/>
    </w:pPr>
    <w:rPr>
      <w:b w:val="0"/>
      <w:bCs w:val="0"/>
      <w:sz w:val="32"/>
      <w:szCs w:val="32"/>
    </w:rPr>
  </w:style>
  <w:style w:type="paragraph" w:styleId="Heading3">
    <w:name w:val="heading 3"/>
    <w:basedOn w:val="normal0"/>
    <w:next w:val="normal0"/>
    <w:pPr>
      <w:keepNext/>
      <w:keepLines/>
      <w:pageBreakBefore w:val="0"/>
      <w:spacing w:before="320" w:after="80"/>
      <w:outlineLvl w:val="2"/>
    </w:pPr>
    <w:rPr>
      <w:b w:val="0"/>
      <w:bCs w:val="0"/>
      <w:color w:val="434343"/>
      <w:sz w:val="28"/>
      <w:szCs w:val="28"/>
    </w:rPr>
  </w:style>
  <w:style w:type="paragraph" w:styleId="Heading4">
    <w:name w:val="heading 4"/>
    <w:basedOn w:val="normal0"/>
    <w:next w:val="normal0"/>
    <w:pPr>
      <w:keepNext/>
      <w:keepLines/>
      <w:pageBreakBefore w:val="0"/>
      <w:spacing w:before="280" w:after="80"/>
      <w:outlineLvl w:val="3"/>
    </w:pPr>
    <w:rPr>
      <w:color w:val="666666"/>
      <w:sz w:val="24"/>
      <w:szCs w:val="24"/>
    </w:rPr>
  </w:style>
  <w:style w:type="paragraph" w:styleId="Heading5">
    <w:name w:val="heading 5"/>
    <w:basedOn w:val="normal0"/>
    <w:next w:val="normal0"/>
    <w:pPr>
      <w:keepNext/>
      <w:keepLines/>
      <w:pageBreakBefore w:val="0"/>
      <w:spacing w:before="240" w:after="80"/>
      <w:outlineLvl w:val="4"/>
    </w:pPr>
    <w:rPr>
      <w:color w:val="666666"/>
      <w:sz w:val="22"/>
      <w:szCs w:val="22"/>
    </w:rPr>
  </w:style>
  <w:style w:type="paragraph" w:styleId="Heading6">
    <w:name w:val="heading 6"/>
    <w:basedOn w:val="normal0"/>
    <w:next w:val="normal0"/>
    <w:pPr>
      <w:keepNext/>
      <w:keepLines/>
      <w:pageBreakBefore w:val="0"/>
      <w:spacing w:before="240" w:after="80"/>
      <w:outlineLvl w:val="5"/>
    </w:pPr>
    <w:rPr>
      <w:i/>
      <w:iCs/>
      <w:color w:val="666666"/>
      <w:sz w:val="22"/>
      <w:szCs w:val="22"/>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pageBreakBefore w:val="0"/>
      <w:spacing w:before="0" w:after="60"/>
    </w:pPr>
    <w:rPr>
      <w:sz w:val="52"/>
      <w:szCs w:val="52"/>
    </w:rPr>
  </w:style>
  <w:style w:type="paragraph" w:styleId="Subtitle">
    <w:name w:val="Subtitle"/>
    <w:basedOn w:val="normal0"/>
    <w:next w:val="normal0"/>
    <w:pPr>
      <w:keepNext/>
      <w:keepLines/>
      <w:pageBreakBefore w:val="0"/>
      <w:spacing w:before="0" w:after="320"/>
    </w:pPr>
    <w:rPr>
      <w:rFonts w:ascii="Arial" w:eastAsia="Arial" w:hAnsi="Arial" w:cs="Arial"/>
      <w:i w:val="0"/>
      <w:iCs w:val="0"/>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prainfo@occ.treas.gov" TargetMode="External" /><Relationship Id="rId6" Type="http://schemas.openxmlformats.org/officeDocument/2006/relationships/hyperlink" Target="mailto:joyce@ilexggroupllc.com" TargetMode="External" /><Relationship Id="rId7" Type="http://schemas.openxmlformats.org/officeDocument/2006/relationships/theme" Target="theme/theme1.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nextmsc.com/blogs/top-us-giants-dominating-the-prepaid-card-mark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