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1709A" w:rsidP="00B927EF" w14:paraId="754F1713" w14:textId="77777777">
      <w:pPr>
        <w:pStyle w:val="Title"/>
        <w:tabs>
          <w:tab w:val="left" w:pos="720"/>
        </w:tabs>
        <w:rPr>
          <w:color w:val="000000"/>
        </w:rPr>
      </w:pPr>
      <w:r>
        <w:rPr>
          <w:color w:val="000000"/>
        </w:rPr>
        <w:t>Supporting Statement</w:t>
      </w:r>
    </w:p>
    <w:p w:rsidR="00976B2D" w:rsidRPr="00976B2D" w:rsidP="00976B2D" w14:paraId="76040D1C" w14:textId="5F9F3E9C">
      <w:pPr>
        <w:jc w:val="center"/>
        <w:rPr>
          <w:b/>
          <w:bCs/>
          <w:color w:val="000000"/>
        </w:rPr>
      </w:pPr>
      <w:r w:rsidRPr="00976B2D">
        <w:rPr>
          <w:b/>
          <w:bCs/>
          <w:color w:val="000000"/>
        </w:rPr>
        <w:t>Consumer Financial Protection Bureau (CFPB)</w:t>
      </w:r>
    </w:p>
    <w:p w:rsidR="00976B2D" w:rsidP="00976B2D" w14:paraId="46E79382" w14:textId="298D8B56">
      <w:pPr>
        <w:jc w:val="center"/>
        <w:rPr>
          <w:b/>
          <w:bCs/>
          <w:color w:val="000000"/>
        </w:rPr>
      </w:pPr>
      <w:r w:rsidRPr="00976B2D">
        <w:rPr>
          <w:b/>
          <w:bCs/>
          <w:color w:val="000000"/>
        </w:rPr>
        <w:t>Regulation E--Electronic Fund Transfer Act (EFTA)</w:t>
      </w:r>
    </w:p>
    <w:p w:rsidR="0051709A" w14:paraId="02359D10" w14:textId="654C9B1D">
      <w:pPr>
        <w:jc w:val="center"/>
        <w:rPr>
          <w:b/>
          <w:bCs/>
          <w:color w:val="000000"/>
        </w:rPr>
      </w:pPr>
      <w:bookmarkStart w:id="0" w:name="_Hlk219369858"/>
      <w:r>
        <w:rPr>
          <w:b/>
          <w:bCs/>
          <w:color w:val="000000"/>
        </w:rPr>
        <w:t>OMB Control No.</w:t>
      </w:r>
      <w:r>
        <w:rPr>
          <w:b/>
          <w:bCs/>
          <w:color w:val="000000"/>
        </w:rPr>
        <w:t xml:space="preserve"> 1557-</w:t>
      </w:r>
      <w:r w:rsidR="007A3D3A">
        <w:rPr>
          <w:b/>
          <w:bCs/>
          <w:color w:val="000000"/>
        </w:rPr>
        <w:t>0346</w:t>
      </w:r>
    </w:p>
    <w:bookmarkEnd w:id="0"/>
    <w:p w:rsidR="00FB4F38" w14:paraId="5DD7329F" w14:textId="77777777">
      <w:pPr>
        <w:jc w:val="center"/>
        <w:rPr>
          <w:b/>
          <w:bCs/>
          <w:color w:val="000000"/>
        </w:rPr>
      </w:pPr>
    </w:p>
    <w:p w:rsidR="00032FBF" w:rsidRPr="00032FBF" w:rsidP="00032FBF" w14:paraId="23E7AD1B" w14:textId="0582F91E">
      <w:pPr>
        <w:rPr>
          <w:bCs/>
          <w:color w:val="000000"/>
        </w:rPr>
      </w:pPr>
      <w:r w:rsidRPr="00032FBF">
        <w:rPr>
          <w:bCs/>
          <w:color w:val="000000"/>
        </w:rPr>
        <w:t>This supporting statement is being submitted pursuant to the Prepaid Accounts final rules, issued by the CFPB on November 22, 2016, 81 FR 83934 and on February 13, 2018, 83 FR 6364</w:t>
      </w:r>
      <w:r w:rsidR="0014060E">
        <w:rPr>
          <w:bCs/>
          <w:color w:val="000000"/>
        </w:rPr>
        <w:t>.</w:t>
      </w:r>
      <w:r w:rsidRPr="00032FBF">
        <w:rPr>
          <w:bCs/>
          <w:color w:val="000000"/>
        </w:rPr>
        <w:t xml:space="preserve">  The rules require financial institutions to make available to consumers disclosures before a consumer acquires a prepaid account.</w:t>
      </w:r>
    </w:p>
    <w:p w:rsidR="00AC6A28" w:rsidRPr="00032FBF" w:rsidP="00032FBF" w14:paraId="23BDE65E" w14:textId="77777777">
      <w:pPr>
        <w:rPr>
          <w:color w:val="000000"/>
        </w:rPr>
      </w:pPr>
    </w:p>
    <w:p w:rsidR="0051709A" w14:paraId="473B5E25" w14:textId="77777777">
      <w:pPr>
        <w:rPr>
          <w:b/>
          <w:bCs/>
          <w:color w:val="000000"/>
        </w:rPr>
      </w:pPr>
      <w:r>
        <w:rPr>
          <w:b/>
          <w:bCs/>
          <w:color w:val="000000"/>
        </w:rPr>
        <w:t>A.  Justification.</w:t>
      </w:r>
    </w:p>
    <w:p w:rsidR="0051709A" w14:paraId="4B977B8C" w14:textId="77777777">
      <w:pPr>
        <w:rPr>
          <w:color w:val="000000"/>
        </w:rPr>
      </w:pPr>
    </w:p>
    <w:p w:rsidR="0051709A" w14:paraId="0D6B75FD" w14:textId="77777777">
      <w:pPr>
        <w:rPr>
          <w:b/>
          <w:bCs/>
          <w:i/>
          <w:iCs/>
          <w:color w:val="000000"/>
        </w:rPr>
      </w:pPr>
      <w:r>
        <w:rPr>
          <w:b/>
          <w:bCs/>
          <w:i/>
          <w:iCs/>
          <w:color w:val="000000"/>
        </w:rPr>
        <w:t>1.  Circumstances that make the collection necessary:</w:t>
      </w:r>
    </w:p>
    <w:p w:rsidR="0051709A" w14:paraId="6E9A335D" w14:textId="77777777">
      <w:pPr>
        <w:rPr>
          <w:color w:val="000000"/>
        </w:rPr>
      </w:pPr>
    </w:p>
    <w:p w:rsidR="00623DDB" w:rsidRPr="00623DDB" w:rsidP="00344499" w14:paraId="3B6AC62F" w14:textId="4EF4C46D">
      <w:pPr>
        <w:ind w:firstLine="720"/>
        <w:rPr>
          <w:color w:val="000000"/>
        </w:rPr>
      </w:pPr>
      <w:r w:rsidRPr="00623DDB">
        <w:rPr>
          <w:color w:val="000000"/>
        </w:rPr>
        <w:t>The EFTA</w:t>
      </w:r>
      <w:r>
        <w:rPr>
          <w:color w:val="000000"/>
          <w:vertAlign w:val="superscript"/>
        </w:rPr>
        <w:footnoteReference w:id="2"/>
      </w:r>
      <w:r w:rsidRPr="00623DDB">
        <w:rPr>
          <w:color w:val="000000"/>
        </w:rPr>
        <w:t xml:space="preserve"> ensures adequate disclosure of basic terms, costs, and rights relating to electronic fund transfer (EFT) services debiting or crediting a consumer’s account.  The disclosures required by the EFTA are triggered by certain specified events.  The disclosures inform consumers about the terms of the </w:t>
      </w:r>
      <w:r w:rsidR="005A6D76">
        <w:rPr>
          <w:color w:val="000000"/>
        </w:rPr>
        <w:t>EFT</w:t>
      </w:r>
      <w:r w:rsidRPr="00623DDB">
        <w:rPr>
          <w:color w:val="000000"/>
        </w:rPr>
        <w:t xml:space="preserve"> service, activity on the account, potential liability for unauthorized transfers, and the process for resolving errors.  Generally, Regulation E applies to “financial institutions,” as that term is defined in Regulation E.</w:t>
      </w:r>
      <w:r>
        <w:rPr>
          <w:color w:val="000000"/>
          <w:vertAlign w:val="superscript"/>
        </w:rPr>
        <w:footnoteReference w:id="3"/>
      </w:r>
    </w:p>
    <w:p w:rsidR="0051709A" w14:paraId="50B9559F" w14:textId="77777777">
      <w:pPr>
        <w:rPr>
          <w:color w:val="000000"/>
        </w:rPr>
      </w:pPr>
    </w:p>
    <w:p w:rsidR="0051709A" w14:paraId="711698DD" w14:textId="77777777">
      <w:pPr>
        <w:rPr>
          <w:b/>
          <w:bCs/>
          <w:i/>
          <w:iCs/>
          <w:color w:val="000000"/>
        </w:rPr>
      </w:pPr>
      <w:r>
        <w:rPr>
          <w:b/>
          <w:bCs/>
          <w:i/>
          <w:iCs/>
          <w:color w:val="000000"/>
        </w:rPr>
        <w:t>2.  Use of the information:</w:t>
      </w:r>
    </w:p>
    <w:p w:rsidR="00FB4F38" w14:paraId="0AF349E7" w14:textId="77777777">
      <w:pPr>
        <w:rPr>
          <w:color w:val="000000"/>
        </w:rPr>
      </w:pPr>
    </w:p>
    <w:p w:rsidR="00344499" w:rsidRPr="00344499" w:rsidP="00344499" w14:paraId="575B5A63" w14:textId="77777777">
      <w:pPr>
        <w:widowControl w:val="0"/>
        <w:autoSpaceDE w:val="0"/>
        <w:autoSpaceDN w:val="0"/>
        <w:spacing w:before="76"/>
        <w:ind w:right="-70" w:firstLine="720"/>
        <w:outlineLvl w:val="0"/>
        <w:rPr>
          <w:bCs/>
          <w:szCs w:val="24"/>
        </w:rPr>
      </w:pPr>
      <w:r w:rsidRPr="00344499">
        <w:rPr>
          <w:bCs/>
          <w:szCs w:val="24"/>
        </w:rPr>
        <w:t>The CFPB’s Prepaid Accounts final rules require financial institutions to make available to consumers disclosures before a consumer acquires a prepaid account.</w:t>
      </w:r>
    </w:p>
    <w:p w:rsidR="00344499" w:rsidRPr="00344499" w:rsidP="00344499" w14:paraId="66A7621A" w14:textId="77777777">
      <w:pPr>
        <w:widowControl w:val="0"/>
        <w:autoSpaceDE w:val="0"/>
        <w:autoSpaceDN w:val="0"/>
        <w:spacing w:before="76"/>
        <w:ind w:right="-70"/>
        <w:outlineLvl w:val="0"/>
        <w:rPr>
          <w:b/>
          <w:bCs/>
          <w:szCs w:val="24"/>
          <w:u w:val="single"/>
        </w:rPr>
      </w:pPr>
    </w:p>
    <w:p w:rsidR="00344499" w:rsidRPr="00344499" w:rsidP="00344499" w14:paraId="3E6B6CFE" w14:textId="33AD14E9">
      <w:pPr>
        <w:widowControl w:val="0"/>
        <w:autoSpaceDE w:val="0"/>
        <w:autoSpaceDN w:val="0"/>
        <w:adjustRightInd w:val="0"/>
        <w:rPr>
          <w:szCs w:val="24"/>
        </w:rPr>
      </w:pPr>
      <w:r w:rsidRPr="00344499">
        <w:rPr>
          <w:szCs w:val="24"/>
        </w:rPr>
        <w:t xml:space="preserve">            Under 12 CFR 1005.18(b), a financial institution is required to make available a short form and a long form disclosure before the consumer acquires a prepaid account, subject to certain exceptions.  Section 1005.18(f)(3) requires that certain disclosures be made on </w:t>
      </w:r>
      <w:r w:rsidR="00B7714E">
        <w:rPr>
          <w:szCs w:val="24"/>
        </w:rPr>
        <w:t>a</w:t>
      </w:r>
      <w:r w:rsidRPr="00344499">
        <w:rPr>
          <w:szCs w:val="24"/>
        </w:rPr>
        <w:t xml:space="preserve"> prepaid account access device, including the name of the financial institution and the URL of its website, and a telephone number the consumer may use to contact the financial institution about the prepaid account.  </w:t>
      </w:r>
      <w:r w:rsidRPr="00B7714E" w:rsidR="00B7714E">
        <w:rPr>
          <w:szCs w:val="24"/>
        </w:rPr>
        <w:t xml:space="preserve">If a financial institution does not provide a physical access device in connection with a prepaid account, the disclosure must appear on the </w:t>
      </w:r>
      <w:r w:rsidR="00B7714E">
        <w:rPr>
          <w:szCs w:val="24"/>
        </w:rPr>
        <w:t>web</w:t>
      </w:r>
      <w:r w:rsidRPr="00B7714E" w:rsidR="00B7714E">
        <w:rPr>
          <w:szCs w:val="24"/>
        </w:rPr>
        <w:t>site, mobile application, or other entry point a consumer must visit to access the prepaid account electronically.</w:t>
      </w:r>
      <w:r w:rsidR="0099470C">
        <w:rPr>
          <w:szCs w:val="24"/>
        </w:rPr>
        <w:t xml:space="preserve"> </w:t>
      </w:r>
    </w:p>
    <w:p w:rsidR="00344499" w:rsidRPr="00344499" w:rsidP="00344499" w14:paraId="3A41152E" w14:textId="77777777">
      <w:pPr>
        <w:widowControl w:val="0"/>
        <w:autoSpaceDE w:val="0"/>
        <w:autoSpaceDN w:val="0"/>
        <w:adjustRightInd w:val="0"/>
        <w:rPr>
          <w:szCs w:val="24"/>
        </w:rPr>
      </w:pPr>
    </w:p>
    <w:p w:rsidR="00344499" w:rsidRPr="00344499" w:rsidP="00344499" w14:paraId="6DD6556F" w14:textId="18D570D7">
      <w:pPr>
        <w:widowControl w:val="0"/>
        <w:autoSpaceDE w:val="0"/>
        <w:autoSpaceDN w:val="0"/>
        <w:adjustRightInd w:val="0"/>
        <w:rPr>
          <w:szCs w:val="24"/>
        </w:rPr>
      </w:pPr>
      <w:r w:rsidRPr="00344499">
        <w:rPr>
          <w:szCs w:val="24"/>
        </w:rPr>
        <w:t xml:space="preserve">            </w:t>
      </w:r>
      <w:r w:rsidRPr="0099470C" w:rsidR="0099470C">
        <w:rPr>
          <w:szCs w:val="24"/>
        </w:rPr>
        <w:t>Unless provided in written form prior to acquisition</w:t>
      </w:r>
      <w:r w:rsidR="0099470C">
        <w:rPr>
          <w:szCs w:val="24"/>
        </w:rPr>
        <w:t>,</w:t>
      </w:r>
      <w:r w:rsidRPr="0099470C" w:rsidR="0099470C">
        <w:rPr>
          <w:szCs w:val="24"/>
        </w:rPr>
        <w:t xml:space="preserve"> disclosures required by </w:t>
      </w:r>
      <w:r w:rsidR="0099470C">
        <w:rPr>
          <w:szCs w:val="24"/>
        </w:rPr>
        <w:t>section 1005.18</w:t>
      </w:r>
      <w:r w:rsidRPr="0099470C" w:rsidR="0099470C">
        <w:rPr>
          <w:szCs w:val="24"/>
        </w:rPr>
        <w:t>(b) must be provided in electronic form when a consumer acquires a prepaid account through electronic means</w:t>
      </w:r>
      <w:r w:rsidR="0099470C">
        <w:rPr>
          <w:szCs w:val="24"/>
        </w:rPr>
        <w:t xml:space="preserve">.  </w:t>
      </w:r>
      <w:r w:rsidRPr="00344499">
        <w:rPr>
          <w:szCs w:val="24"/>
        </w:rPr>
        <w:t>Financial institutions offering prepaid accounts that qualify for the retail location exception in § 1005.18(b)(1)(ii) may provid</w:t>
      </w:r>
      <w:r w:rsidR="00D37515">
        <w:rPr>
          <w:szCs w:val="24"/>
        </w:rPr>
        <w:t>e</w:t>
      </w:r>
      <w:r w:rsidRPr="00344499">
        <w:rPr>
          <w:szCs w:val="24"/>
        </w:rPr>
        <w:t xml:space="preserve"> the long form disclosure after acquisition by </w:t>
      </w:r>
      <w:r w:rsidR="00D37515">
        <w:rPr>
          <w:szCs w:val="24"/>
        </w:rPr>
        <w:t>meeting certain requirements, including providing the disclosure</w:t>
      </w:r>
      <w:r w:rsidRPr="00344499">
        <w:rPr>
          <w:szCs w:val="24"/>
        </w:rPr>
        <w:t xml:space="preserve"> </w:t>
      </w:r>
      <w:r w:rsidR="00D37515">
        <w:rPr>
          <w:szCs w:val="24"/>
        </w:rPr>
        <w:t>in electronic form</w:t>
      </w:r>
      <w:r w:rsidRPr="00344499">
        <w:rPr>
          <w:szCs w:val="24"/>
        </w:rPr>
        <w:t xml:space="preserve">.  If a financial institution provides pre-acquisition disclosures in writing and a consumer </w:t>
      </w:r>
      <w:r w:rsidRPr="00344499">
        <w:rPr>
          <w:szCs w:val="24"/>
        </w:rPr>
        <w:t xml:space="preserve">subsequently completes the acquisition process online or by telephone, the financial institution is not required to provide the disclosures again either electronically or orally.  </w:t>
      </w:r>
    </w:p>
    <w:p w:rsidR="00344499" w:rsidRPr="00344499" w:rsidP="00344499" w14:paraId="5298675A" w14:textId="77777777">
      <w:pPr>
        <w:widowControl w:val="0"/>
        <w:autoSpaceDE w:val="0"/>
        <w:autoSpaceDN w:val="0"/>
        <w:adjustRightInd w:val="0"/>
        <w:rPr>
          <w:szCs w:val="24"/>
        </w:rPr>
      </w:pPr>
    </w:p>
    <w:p w:rsidR="00344499" w:rsidRPr="00344499" w:rsidP="00344499" w14:paraId="3BC1D46B" w14:textId="205C47E5">
      <w:pPr>
        <w:widowControl w:val="0"/>
        <w:autoSpaceDE w:val="0"/>
        <w:autoSpaceDN w:val="0"/>
        <w:adjustRightInd w:val="0"/>
        <w:rPr>
          <w:szCs w:val="24"/>
        </w:rPr>
      </w:pPr>
      <w:r w:rsidRPr="00344499">
        <w:rPr>
          <w:szCs w:val="24"/>
        </w:rPr>
        <w:t xml:space="preserve">            Section 1005.18(b)(9) includes a requirement that a financial institution provide pre-acquisition disclosures in a foreign language </w:t>
      </w:r>
      <w:r w:rsidR="008579F7">
        <w:rPr>
          <w:szCs w:val="24"/>
        </w:rPr>
        <w:t>in many cases in which</w:t>
      </w:r>
      <w:r w:rsidRPr="00344499">
        <w:rPr>
          <w:szCs w:val="24"/>
        </w:rPr>
        <w:t xml:space="preserve"> the financial institution</w:t>
      </w:r>
      <w:r w:rsidR="008579F7">
        <w:rPr>
          <w:szCs w:val="24"/>
        </w:rPr>
        <w:t xml:space="preserve"> uses a foreign language in connection with the acquisition of a prepaid account</w:t>
      </w:r>
      <w:r w:rsidRPr="00344499">
        <w:rPr>
          <w:szCs w:val="24"/>
        </w:rPr>
        <w:t>.</w:t>
      </w:r>
    </w:p>
    <w:p w:rsidR="00344499" w:rsidRPr="00344499" w:rsidP="00344499" w14:paraId="15FED5DB" w14:textId="77777777">
      <w:pPr>
        <w:widowControl w:val="0"/>
        <w:autoSpaceDE w:val="0"/>
        <w:autoSpaceDN w:val="0"/>
        <w:adjustRightInd w:val="0"/>
        <w:rPr>
          <w:szCs w:val="24"/>
        </w:rPr>
      </w:pPr>
    </w:p>
    <w:p w:rsidR="0050594B" w:rsidRPr="0050594B" w:rsidP="0050594B" w14:paraId="1CCE81E3" w14:textId="0039B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Cs w:val="24"/>
          <w:lang w:val="en"/>
        </w:rPr>
      </w:pPr>
      <w:r w:rsidRPr="00344499">
        <w:rPr>
          <w:szCs w:val="24"/>
        </w:rPr>
        <w:t xml:space="preserve">            </w:t>
      </w:r>
      <w:r w:rsidR="00241003">
        <w:rPr>
          <w:szCs w:val="24"/>
        </w:rPr>
        <w:t xml:space="preserve">Section 1005.18(f)(2) requires financial institutions to provide change-in-terms notices consistent with Regulation E’s change-in-terms notice provisions. </w:t>
      </w:r>
      <w:r w:rsidR="00523B8E">
        <w:rPr>
          <w:szCs w:val="24"/>
        </w:rPr>
        <w:t>Financial institutions may elect to provide disclosures under s</w:t>
      </w:r>
      <w:r w:rsidRPr="00344499">
        <w:rPr>
          <w:szCs w:val="24"/>
        </w:rPr>
        <w:t xml:space="preserve">ection 1005.18(c)(1) </w:t>
      </w:r>
      <w:r w:rsidR="00523B8E">
        <w:rPr>
          <w:szCs w:val="24"/>
        </w:rPr>
        <w:t>as an alternative to providing periodic statements required by 12 CFR 1005.9(b), if applicable</w:t>
      </w:r>
      <w:r w:rsidRPr="00344499">
        <w:rPr>
          <w:szCs w:val="24"/>
        </w:rPr>
        <w:t xml:space="preserve">.  Under this alternative method, the </w:t>
      </w:r>
      <w:r w:rsidR="00523B8E">
        <w:rPr>
          <w:szCs w:val="24"/>
        </w:rPr>
        <w:t>financial institution must make available to the consumer</w:t>
      </w:r>
      <w:r w:rsidRPr="00344499">
        <w:rPr>
          <w:color w:val="000000" w:themeColor="text1"/>
          <w:szCs w:val="24"/>
        </w:rPr>
        <w:t xml:space="preserve">: </w:t>
      </w:r>
      <w:r w:rsidRPr="0050594B">
        <w:rPr>
          <w:color w:val="000000" w:themeColor="text1"/>
          <w:szCs w:val="24"/>
        </w:rPr>
        <w:t>(</w:t>
      </w:r>
      <w:r>
        <w:rPr>
          <w:color w:val="000000" w:themeColor="text1"/>
          <w:szCs w:val="24"/>
        </w:rPr>
        <w:t>1</w:t>
      </w:r>
      <w:r w:rsidRPr="0050594B">
        <w:rPr>
          <w:color w:val="000000" w:themeColor="text1"/>
          <w:szCs w:val="24"/>
        </w:rPr>
        <w:t xml:space="preserve">) </w:t>
      </w:r>
      <w:r>
        <w:rPr>
          <w:color w:val="000000" w:themeColor="text1"/>
          <w:szCs w:val="24"/>
        </w:rPr>
        <w:t>t</w:t>
      </w:r>
      <w:r w:rsidRPr="0050594B">
        <w:rPr>
          <w:color w:val="000000" w:themeColor="text1"/>
          <w:szCs w:val="24"/>
        </w:rPr>
        <w:t>he consumer’s account balance, through a readily available telephone line</w:t>
      </w:r>
      <w:r>
        <w:rPr>
          <w:color w:val="000000" w:themeColor="text1"/>
          <w:szCs w:val="24"/>
        </w:rPr>
        <w:t xml:space="preserve">; </w:t>
      </w:r>
      <w:r w:rsidRPr="0050594B">
        <w:rPr>
          <w:color w:val="000000" w:themeColor="text1"/>
          <w:szCs w:val="24"/>
        </w:rPr>
        <w:t>(</w:t>
      </w:r>
      <w:r>
        <w:rPr>
          <w:color w:val="000000" w:themeColor="text1"/>
          <w:szCs w:val="24"/>
        </w:rPr>
        <w:t>2</w:t>
      </w:r>
      <w:r w:rsidRPr="0050594B">
        <w:rPr>
          <w:color w:val="000000" w:themeColor="text1"/>
          <w:szCs w:val="24"/>
        </w:rPr>
        <w:t xml:space="preserve">) </w:t>
      </w:r>
      <w:r>
        <w:rPr>
          <w:color w:val="000000" w:themeColor="text1"/>
          <w:szCs w:val="24"/>
        </w:rPr>
        <w:t>a</w:t>
      </w:r>
      <w:r w:rsidRPr="0050594B">
        <w:rPr>
          <w:color w:val="000000" w:themeColor="text1"/>
          <w:szCs w:val="24"/>
        </w:rPr>
        <w:t xml:space="preserve">n electronic history of the consumer’s account transactions, such as through a </w:t>
      </w:r>
      <w:r>
        <w:rPr>
          <w:color w:val="000000" w:themeColor="text1"/>
          <w:szCs w:val="24"/>
        </w:rPr>
        <w:t>web</w:t>
      </w:r>
      <w:r w:rsidRPr="0050594B">
        <w:rPr>
          <w:color w:val="000000" w:themeColor="text1"/>
          <w:szCs w:val="24"/>
        </w:rPr>
        <w:t>site, that covers at least 12 months preceding the date the consumer electronically accesses the account; and</w:t>
      </w:r>
      <w:r>
        <w:rPr>
          <w:color w:val="000000" w:themeColor="text1"/>
          <w:szCs w:val="24"/>
        </w:rPr>
        <w:t xml:space="preserve"> </w:t>
      </w:r>
      <w:r w:rsidRPr="0050594B">
        <w:rPr>
          <w:color w:val="000000" w:themeColor="text1"/>
          <w:szCs w:val="24"/>
        </w:rPr>
        <w:t>(</w:t>
      </w:r>
      <w:r>
        <w:rPr>
          <w:color w:val="000000" w:themeColor="text1"/>
          <w:szCs w:val="24"/>
        </w:rPr>
        <w:t>3</w:t>
      </w:r>
      <w:r w:rsidRPr="0050594B">
        <w:rPr>
          <w:color w:val="000000" w:themeColor="text1"/>
          <w:szCs w:val="24"/>
        </w:rPr>
        <w:t xml:space="preserve">) </w:t>
      </w:r>
      <w:r>
        <w:rPr>
          <w:color w:val="000000" w:themeColor="text1"/>
          <w:szCs w:val="24"/>
        </w:rPr>
        <w:t>a</w:t>
      </w:r>
      <w:r w:rsidRPr="0050594B">
        <w:rPr>
          <w:color w:val="000000" w:themeColor="text1"/>
          <w:szCs w:val="24"/>
        </w:rPr>
        <w:t xml:space="preserve"> written history of the consumer’s account transactions that is provided promptly in response to an oral or written request and that covers at least 24 months preceding the date the financial institution receives the consumer’s request.</w:t>
      </w:r>
      <w:r w:rsidRPr="00344499">
        <w:rPr>
          <w:color w:val="333333"/>
          <w:szCs w:val="24"/>
          <w:lang w:val="en"/>
        </w:rPr>
        <w:t xml:space="preserve">  </w:t>
      </w:r>
    </w:p>
    <w:p w:rsidR="00344499" w:rsidRPr="00344499" w:rsidP="00344499" w14:paraId="0F32FE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344499" w:rsidRPr="00344499" w:rsidP="00344499" w14:paraId="32556F89" w14:textId="3FE5F45F">
      <w:pPr>
        <w:widowControl w:val="0"/>
        <w:autoSpaceDE w:val="0"/>
        <w:autoSpaceDN w:val="0"/>
        <w:adjustRightInd w:val="0"/>
        <w:rPr>
          <w:szCs w:val="24"/>
          <w:vertAlign w:val="superscript"/>
        </w:rPr>
      </w:pPr>
      <w:r w:rsidRPr="00344499">
        <w:rPr>
          <w:szCs w:val="24"/>
        </w:rPr>
        <w:t xml:space="preserve">            </w:t>
      </w:r>
      <w:r w:rsidR="0050594B">
        <w:rPr>
          <w:szCs w:val="24"/>
        </w:rPr>
        <w:t xml:space="preserve">Prepaid accounts are subject to Regulation E’s </w:t>
      </w:r>
      <w:r w:rsidRPr="00344499">
        <w:rPr>
          <w:szCs w:val="24"/>
        </w:rPr>
        <w:t xml:space="preserve">limited liability and error </w:t>
      </w:r>
      <w:r w:rsidR="0050594B">
        <w:rPr>
          <w:szCs w:val="24"/>
        </w:rPr>
        <w:t>resolution requirements</w:t>
      </w:r>
      <w:r w:rsidRPr="00344499">
        <w:rPr>
          <w:szCs w:val="24"/>
        </w:rPr>
        <w:t>, except those</w:t>
      </w:r>
      <w:r w:rsidR="0050594B">
        <w:rPr>
          <w:szCs w:val="24"/>
        </w:rPr>
        <w:t xml:space="preserve"> prepaid accounts</w:t>
      </w:r>
      <w:r w:rsidRPr="00344499">
        <w:rPr>
          <w:szCs w:val="24"/>
        </w:rPr>
        <w:t xml:space="preserve"> that have not successfully completed the financial institution’s consumer identification and verification process.</w:t>
      </w:r>
      <w:r w:rsidRPr="00AD06EF" w:rsidR="00AD06EF">
        <w:rPr>
          <w:szCs w:val="24"/>
          <w:vertAlign w:val="superscript"/>
        </w:rPr>
        <w:t xml:space="preserve"> </w:t>
      </w:r>
      <w:r>
        <w:rPr>
          <w:szCs w:val="24"/>
          <w:vertAlign w:val="superscript"/>
        </w:rPr>
        <w:footnoteReference w:id="4"/>
      </w:r>
      <w:r w:rsidRPr="00344499">
        <w:rPr>
          <w:szCs w:val="24"/>
        </w:rPr>
        <w:t xml:space="preserve">  With regard to accounts where the consumer’s identity is later verified, financial institutions are not required to resolve errors and limit liability for disputed transactions occurring prior to the verification.  For accounts in programs where there is no </w:t>
      </w:r>
      <w:r w:rsidR="00AD06EF">
        <w:rPr>
          <w:szCs w:val="24"/>
        </w:rPr>
        <w:t xml:space="preserve">identification and </w:t>
      </w:r>
      <w:r w:rsidRPr="00344499">
        <w:rPr>
          <w:szCs w:val="24"/>
        </w:rPr>
        <w:t>verification process, financial institutions must either explain in their initial disclosures their error resolution process and limitations on consumers’ liability for unauthorized transfers, or explain that there are no such protections</w:t>
      </w:r>
      <w:r w:rsidR="00AD06EF">
        <w:rPr>
          <w:szCs w:val="24"/>
        </w:rPr>
        <w:t>.</w:t>
      </w:r>
      <w:r>
        <w:rPr>
          <w:rStyle w:val="FootnoteReference"/>
          <w:szCs w:val="24"/>
        </w:rPr>
        <w:footnoteReference w:id="5"/>
      </w:r>
      <w:r w:rsidRPr="00344499">
        <w:rPr>
          <w:szCs w:val="24"/>
          <w:vertAlign w:val="superscript"/>
        </w:rPr>
        <w:t xml:space="preserve"> </w:t>
      </w:r>
    </w:p>
    <w:p w:rsidR="00344499" w:rsidRPr="00344499" w:rsidP="00344499" w14:paraId="791D731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241003" w:rsidP="00344499" w14:paraId="2FBDAB85" w14:textId="5FFEA5FB">
      <w:pPr>
        <w:widowControl w:val="0"/>
        <w:autoSpaceDE w:val="0"/>
        <w:autoSpaceDN w:val="0"/>
        <w:adjustRightInd w:val="0"/>
        <w:rPr>
          <w:szCs w:val="24"/>
        </w:rPr>
      </w:pPr>
      <w:r w:rsidRPr="00344499">
        <w:rPr>
          <w:szCs w:val="24"/>
        </w:rPr>
        <w:t xml:space="preserve">            Section 1005.19(b) </w:t>
      </w:r>
      <w:r w:rsidR="0099470C">
        <w:rPr>
          <w:szCs w:val="24"/>
        </w:rPr>
        <w:t xml:space="preserve">generally </w:t>
      </w:r>
      <w:r w:rsidRPr="00344499">
        <w:rPr>
          <w:szCs w:val="24"/>
        </w:rPr>
        <w:t>requires issuers to submit to the CFPB, on a rolling basis, prepaid account agreements</w:t>
      </w:r>
      <w:r>
        <w:rPr>
          <w:rStyle w:val="FootnoteReference"/>
          <w:szCs w:val="24"/>
        </w:rPr>
        <w:footnoteReference w:id="6"/>
      </w:r>
      <w:r w:rsidRPr="00344499">
        <w:rPr>
          <w:szCs w:val="24"/>
        </w:rPr>
        <w:t xml:space="preserve"> </w:t>
      </w:r>
      <w:r>
        <w:rPr>
          <w:szCs w:val="24"/>
        </w:rPr>
        <w:t xml:space="preserve">no later than 30 days after an issuer </w:t>
      </w:r>
      <w:r w:rsidRPr="00344499">
        <w:rPr>
          <w:szCs w:val="24"/>
        </w:rPr>
        <w:t>offer</w:t>
      </w:r>
      <w:r>
        <w:rPr>
          <w:szCs w:val="24"/>
        </w:rPr>
        <w:t>s</w:t>
      </w:r>
      <w:r w:rsidRPr="00344499">
        <w:rPr>
          <w:szCs w:val="24"/>
        </w:rPr>
        <w:t>, amend</w:t>
      </w:r>
      <w:r>
        <w:rPr>
          <w:szCs w:val="24"/>
        </w:rPr>
        <w:t>s</w:t>
      </w:r>
      <w:r w:rsidRPr="00344499">
        <w:rPr>
          <w:szCs w:val="24"/>
        </w:rPr>
        <w:t xml:space="preserve">, or </w:t>
      </w:r>
      <w:r>
        <w:rPr>
          <w:szCs w:val="24"/>
        </w:rPr>
        <w:t>ceases to offer a prepaid account agreement</w:t>
      </w:r>
      <w:r w:rsidRPr="00344499">
        <w:rPr>
          <w:szCs w:val="24"/>
        </w:rPr>
        <w:t xml:space="preserve">.  </w:t>
      </w:r>
      <w:r w:rsidRPr="00241003">
        <w:rPr>
          <w:szCs w:val="24"/>
        </w:rPr>
        <w:t>Fee information</w:t>
      </w:r>
      <w:r>
        <w:rPr>
          <w:rStyle w:val="FootnoteReference"/>
          <w:szCs w:val="24"/>
        </w:rPr>
        <w:footnoteReference w:id="7"/>
      </w:r>
      <w:r w:rsidRPr="00241003">
        <w:rPr>
          <w:szCs w:val="24"/>
        </w:rPr>
        <w:t xml:space="preserve"> must be set forth either in the prepaid account agreement or in addenda to that agreement that attach either or both the short form disclosure for the prepaid account pursuant to </w:t>
      </w:r>
      <w:r>
        <w:rPr>
          <w:szCs w:val="24"/>
        </w:rPr>
        <w:t>section</w:t>
      </w:r>
      <w:r w:rsidRPr="00241003">
        <w:rPr>
          <w:szCs w:val="24"/>
        </w:rPr>
        <w:t xml:space="preserve"> 1005.18(b)(2) and the fee information and statements required to be disclosed in the long form disclosure for the prepaid account pursuant to </w:t>
      </w:r>
      <w:r>
        <w:rPr>
          <w:szCs w:val="24"/>
        </w:rPr>
        <w:t>section</w:t>
      </w:r>
      <w:r w:rsidRPr="00241003">
        <w:rPr>
          <w:szCs w:val="24"/>
        </w:rPr>
        <w:t> 1005.18(b)(4).</w:t>
      </w:r>
    </w:p>
    <w:p w:rsidR="009A271C" w:rsidP="007732CA" w14:paraId="2FCE2042" w14:textId="77777777">
      <w:pPr>
        <w:rPr>
          <w:b/>
          <w:bCs/>
          <w:i/>
          <w:iCs/>
          <w:color w:val="000000"/>
        </w:rPr>
      </w:pPr>
    </w:p>
    <w:p w:rsidR="0051709A" w:rsidP="007732CA" w14:paraId="11B85BDF" w14:textId="77777777">
      <w:pPr>
        <w:rPr>
          <w:b/>
          <w:bCs/>
          <w:i/>
          <w:iCs/>
          <w:color w:val="000000"/>
        </w:rPr>
      </w:pPr>
      <w:r>
        <w:rPr>
          <w:b/>
          <w:bCs/>
          <w:i/>
          <w:iCs/>
          <w:color w:val="000000"/>
        </w:rPr>
        <w:t>3.  Consideration of the use of improved information technology:</w:t>
      </w:r>
    </w:p>
    <w:p w:rsidR="0051709A" w14:paraId="68A92FF5" w14:textId="77777777">
      <w:pPr>
        <w:rPr>
          <w:color w:val="000000"/>
        </w:rPr>
      </w:pPr>
    </w:p>
    <w:p w:rsidR="0051709A" w:rsidRPr="00D46AA2" w:rsidP="00BB31A5" w14:paraId="7C87891A" w14:textId="01298AF6">
      <w:pPr>
        <w:numPr>
          <w:ilvl w:val="2"/>
          <w:numId w:val="0"/>
        </w:numPr>
        <w:tabs>
          <w:tab w:val="num" w:pos="360"/>
        </w:tabs>
        <w:rPr>
          <w:color w:val="000000"/>
        </w:rPr>
      </w:pPr>
      <w:r>
        <w:rPr>
          <w:color w:val="000000"/>
        </w:rPr>
        <w:tab/>
      </w:r>
      <w:r w:rsidR="00BB31A5">
        <w:rPr>
          <w:color w:val="000000"/>
        </w:rPr>
        <w:tab/>
        <w:t>Respondents may use any technology that allows compliance with the collection.</w:t>
      </w:r>
    </w:p>
    <w:p w:rsidR="0051709A" w14:paraId="76A39AC3" w14:textId="77777777">
      <w:pPr>
        <w:rPr>
          <w:color w:val="000000"/>
        </w:rPr>
      </w:pPr>
    </w:p>
    <w:p w:rsidR="0051709A" w14:paraId="7D750F77" w14:textId="77777777">
      <w:pPr>
        <w:rPr>
          <w:b/>
          <w:bCs/>
          <w:i/>
          <w:iCs/>
          <w:color w:val="000000"/>
        </w:rPr>
      </w:pPr>
      <w:r>
        <w:rPr>
          <w:b/>
          <w:bCs/>
          <w:i/>
          <w:iCs/>
          <w:color w:val="000000"/>
        </w:rPr>
        <w:t>4.  Efforts to identify duplication:</w:t>
      </w:r>
    </w:p>
    <w:p w:rsidR="0051709A" w14:paraId="0EDF4657" w14:textId="77777777">
      <w:pPr>
        <w:rPr>
          <w:color w:val="000000"/>
        </w:rPr>
      </w:pPr>
    </w:p>
    <w:p w:rsidR="0051709A" w:rsidP="00B955B7" w14:paraId="269A1FB2" w14:textId="46DB2240">
      <w:pPr>
        <w:ind w:firstLine="720"/>
        <w:rPr>
          <w:color w:val="000000"/>
        </w:rPr>
      </w:pPr>
      <w:r>
        <w:rPr>
          <w:color w:val="000000"/>
        </w:rPr>
        <w:t>The information is not duplicated elsewhere.</w:t>
      </w:r>
    </w:p>
    <w:p w:rsidR="0051709A" w14:paraId="01BEA9F6" w14:textId="77777777">
      <w:pPr>
        <w:rPr>
          <w:color w:val="000000"/>
        </w:rPr>
      </w:pPr>
    </w:p>
    <w:p w:rsidR="00B97BC7" w:rsidRPr="00B97BC7" w:rsidP="00B97BC7" w14:paraId="0A8B01FC" w14:textId="04B7B225">
      <w:pPr>
        <w:pStyle w:val="BodyText"/>
        <w:widowControl w:val="0"/>
        <w:ind w:right="861"/>
        <w:rPr>
          <w:b/>
        </w:rPr>
      </w:pPr>
      <w:r w:rsidRPr="00B97BC7">
        <w:rPr>
          <w:b/>
          <w:bCs/>
          <w:iCs w:val="0"/>
        </w:rPr>
        <w:t>5.</w:t>
      </w:r>
      <w:r w:rsidR="00632D92">
        <w:rPr>
          <w:b/>
          <w:bCs/>
          <w:iCs w:val="0"/>
        </w:rPr>
        <w:t xml:space="preserve">  </w:t>
      </w:r>
      <w:r w:rsidRPr="00B97BC7">
        <w:rPr>
          <w:b/>
          <w:spacing w:val="-2"/>
        </w:rPr>
        <w:t>If</w:t>
      </w:r>
      <w:r w:rsidRPr="00B97BC7">
        <w:rPr>
          <w:b/>
          <w:spacing w:val="-8"/>
        </w:rPr>
        <w:t xml:space="preserve"> </w:t>
      </w:r>
      <w:r w:rsidRPr="00B97BC7">
        <w:rPr>
          <w:b/>
        </w:rPr>
        <w:t>the</w:t>
      </w:r>
      <w:r w:rsidRPr="00B97BC7">
        <w:rPr>
          <w:b/>
          <w:spacing w:val="-7"/>
        </w:rPr>
        <w:t xml:space="preserve"> </w:t>
      </w:r>
      <w:r w:rsidRPr="00B97BC7">
        <w:rPr>
          <w:b/>
          <w:spacing w:val="-1"/>
        </w:rPr>
        <w:t>collection</w:t>
      </w:r>
      <w:r w:rsidRPr="00B97BC7">
        <w:rPr>
          <w:b/>
          <w:spacing w:val="-7"/>
        </w:rPr>
        <w:t xml:space="preserve"> </w:t>
      </w:r>
      <w:r w:rsidRPr="00B97BC7">
        <w:rPr>
          <w:b/>
        </w:rPr>
        <w:t>of</w:t>
      </w:r>
      <w:r w:rsidRPr="00B97BC7">
        <w:rPr>
          <w:b/>
          <w:spacing w:val="-8"/>
        </w:rPr>
        <w:t xml:space="preserve"> </w:t>
      </w:r>
      <w:r w:rsidRPr="00B97BC7">
        <w:rPr>
          <w:b/>
          <w:spacing w:val="-1"/>
        </w:rPr>
        <w:t>information</w:t>
      </w:r>
      <w:r w:rsidRPr="00B97BC7">
        <w:rPr>
          <w:b/>
          <w:spacing w:val="-7"/>
        </w:rPr>
        <w:t xml:space="preserve"> </w:t>
      </w:r>
      <w:r w:rsidRPr="00B97BC7">
        <w:rPr>
          <w:b/>
          <w:spacing w:val="-1"/>
        </w:rPr>
        <w:t>impacts</w:t>
      </w:r>
      <w:r w:rsidRPr="00B97BC7">
        <w:rPr>
          <w:b/>
          <w:spacing w:val="-6"/>
        </w:rPr>
        <w:t xml:space="preserve"> </w:t>
      </w:r>
      <w:r w:rsidRPr="00B97BC7">
        <w:rPr>
          <w:b/>
          <w:spacing w:val="-1"/>
        </w:rPr>
        <w:t>small</w:t>
      </w:r>
      <w:r w:rsidRPr="00B97BC7">
        <w:rPr>
          <w:b/>
          <w:spacing w:val="-7"/>
        </w:rPr>
        <w:t xml:space="preserve"> </w:t>
      </w:r>
      <w:r w:rsidRPr="00B97BC7">
        <w:rPr>
          <w:b/>
          <w:spacing w:val="-1"/>
        </w:rPr>
        <w:t>businesses</w:t>
      </w:r>
      <w:r w:rsidRPr="00B97BC7">
        <w:rPr>
          <w:b/>
          <w:spacing w:val="-6"/>
        </w:rPr>
        <w:t xml:space="preserve"> </w:t>
      </w:r>
      <w:r w:rsidRPr="00B97BC7">
        <w:rPr>
          <w:b/>
        </w:rPr>
        <w:t>or</w:t>
      </w:r>
      <w:r w:rsidRPr="00B97BC7">
        <w:rPr>
          <w:b/>
          <w:spacing w:val="-8"/>
        </w:rPr>
        <w:t xml:space="preserve"> </w:t>
      </w:r>
      <w:r w:rsidRPr="00B97BC7">
        <w:rPr>
          <w:b/>
          <w:spacing w:val="1"/>
        </w:rPr>
        <w:t>other</w:t>
      </w:r>
      <w:r w:rsidRPr="00B97BC7">
        <w:rPr>
          <w:b/>
          <w:spacing w:val="-7"/>
        </w:rPr>
        <w:t xml:space="preserve"> </w:t>
      </w:r>
      <w:r w:rsidRPr="00B97BC7">
        <w:rPr>
          <w:b/>
          <w:spacing w:val="-1"/>
        </w:rPr>
        <w:t>small</w:t>
      </w:r>
      <w:r w:rsidRPr="00B97BC7">
        <w:rPr>
          <w:b/>
          <w:spacing w:val="-6"/>
        </w:rPr>
        <w:t xml:space="preserve"> </w:t>
      </w:r>
      <w:r w:rsidRPr="00B97BC7">
        <w:rPr>
          <w:b/>
        </w:rPr>
        <w:t>entities, describe</w:t>
      </w:r>
      <w:r w:rsidRPr="00B97BC7">
        <w:rPr>
          <w:b/>
          <w:spacing w:val="-7"/>
        </w:rPr>
        <w:t xml:space="preserve"> </w:t>
      </w:r>
      <w:r w:rsidRPr="00B97BC7">
        <w:rPr>
          <w:b/>
          <w:spacing w:val="1"/>
        </w:rPr>
        <w:t>any</w:t>
      </w:r>
      <w:r w:rsidRPr="00B97BC7">
        <w:rPr>
          <w:b/>
          <w:spacing w:val="-11"/>
        </w:rPr>
        <w:t xml:space="preserve"> </w:t>
      </w:r>
      <w:r w:rsidRPr="00B97BC7">
        <w:rPr>
          <w:b/>
          <w:spacing w:val="-1"/>
        </w:rPr>
        <w:t>methods</w:t>
      </w:r>
      <w:r w:rsidRPr="00B97BC7">
        <w:rPr>
          <w:b/>
          <w:spacing w:val="-8"/>
        </w:rPr>
        <w:t xml:space="preserve"> </w:t>
      </w:r>
      <w:r w:rsidRPr="00B97BC7">
        <w:rPr>
          <w:b/>
          <w:spacing w:val="-1"/>
        </w:rPr>
        <w:t>used</w:t>
      </w:r>
      <w:r w:rsidRPr="00B97BC7">
        <w:rPr>
          <w:b/>
          <w:spacing w:val="-8"/>
        </w:rPr>
        <w:t xml:space="preserve"> </w:t>
      </w:r>
      <w:r w:rsidRPr="00B97BC7">
        <w:rPr>
          <w:b/>
        </w:rPr>
        <w:t>to</w:t>
      </w:r>
      <w:r w:rsidRPr="00B97BC7">
        <w:rPr>
          <w:b/>
          <w:spacing w:val="-8"/>
        </w:rPr>
        <w:t xml:space="preserve"> </w:t>
      </w:r>
      <w:r w:rsidRPr="00B97BC7">
        <w:rPr>
          <w:b/>
        </w:rPr>
        <w:t>minimize</w:t>
      </w:r>
      <w:r w:rsidRPr="00B97BC7">
        <w:rPr>
          <w:b/>
          <w:spacing w:val="-8"/>
        </w:rPr>
        <w:t xml:space="preserve"> </w:t>
      </w:r>
      <w:r w:rsidRPr="00B97BC7">
        <w:rPr>
          <w:b/>
          <w:spacing w:val="-1"/>
        </w:rPr>
        <w:t>burden.</w:t>
      </w:r>
    </w:p>
    <w:p w:rsidR="0051709A" w14:paraId="11D7DC32" w14:textId="77777777">
      <w:pPr>
        <w:rPr>
          <w:color w:val="000000"/>
        </w:rPr>
      </w:pPr>
    </w:p>
    <w:p w:rsidR="0051709A" w:rsidP="00B955B7" w14:paraId="212724C0" w14:textId="0D7FC503">
      <w:pPr>
        <w:ind w:firstLine="720"/>
        <w:rPr>
          <w:color w:val="000000"/>
        </w:rPr>
      </w:pPr>
      <w:r>
        <w:rPr>
          <w:color w:val="000000"/>
        </w:rPr>
        <w:t xml:space="preserve">This information collection imposes only the minimum burden necessary to </w:t>
      </w:r>
      <w:r w:rsidR="00BB31A5">
        <w:rPr>
          <w:color w:val="000000"/>
        </w:rPr>
        <w:t>meet the goals of the collection.</w:t>
      </w:r>
    </w:p>
    <w:p w:rsidR="0051709A" w14:paraId="75B9A5FD" w14:textId="77777777">
      <w:pPr>
        <w:rPr>
          <w:color w:val="000000"/>
        </w:rPr>
      </w:pPr>
    </w:p>
    <w:p w:rsidR="0051709A" w14:paraId="6E21C0FF" w14:textId="77777777">
      <w:pPr>
        <w:pStyle w:val="BodyText"/>
        <w:rPr>
          <w:b/>
          <w:bCs/>
          <w:color w:val="000000"/>
        </w:rPr>
      </w:pPr>
      <w:r>
        <w:rPr>
          <w:b/>
          <w:bCs/>
          <w:color w:val="000000"/>
        </w:rPr>
        <w:t xml:space="preserve">6.  Consequences to the </w:t>
      </w:r>
      <w:r w:rsidR="00123913">
        <w:rPr>
          <w:b/>
          <w:bCs/>
          <w:color w:val="000000"/>
        </w:rPr>
        <w:t>f</w:t>
      </w:r>
      <w:r>
        <w:rPr>
          <w:b/>
          <w:bCs/>
          <w:color w:val="000000"/>
        </w:rPr>
        <w:t>ederal program if the collection were conducted less frequently:</w:t>
      </w:r>
    </w:p>
    <w:p w:rsidR="0051709A" w14:paraId="1FF5F664" w14:textId="77777777">
      <w:pPr>
        <w:rPr>
          <w:color w:val="000000"/>
        </w:rPr>
      </w:pPr>
    </w:p>
    <w:p w:rsidR="0051709A" w:rsidP="00B955B7" w14:paraId="39FA28A1" w14:textId="4F470474">
      <w:pPr>
        <w:ind w:firstLine="720"/>
        <w:rPr>
          <w:color w:val="000000"/>
        </w:rPr>
      </w:pPr>
      <w:r>
        <w:rPr>
          <w:color w:val="000000"/>
        </w:rPr>
        <w:t>The information collection is the minimum necessary to ensure compliance with the law</w:t>
      </w:r>
      <w:r w:rsidR="00BB31A5">
        <w:rPr>
          <w:color w:val="000000"/>
        </w:rPr>
        <w:t>.</w:t>
      </w:r>
    </w:p>
    <w:p w:rsidR="0051709A" w14:paraId="4CF57B35" w14:textId="77777777">
      <w:pPr>
        <w:rPr>
          <w:color w:val="000000"/>
        </w:rPr>
      </w:pPr>
    </w:p>
    <w:p w:rsidR="0051709A" w14:paraId="00848E7A" w14:textId="77777777">
      <w:pPr>
        <w:pStyle w:val="BodyText"/>
        <w:rPr>
          <w:b/>
          <w:bCs/>
          <w:color w:val="000000"/>
        </w:rPr>
      </w:pPr>
      <w:r>
        <w:rPr>
          <w:b/>
          <w:bCs/>
          <w:color w:val="000000"/>
        </w:rPr>
        <w:t>7.  Special circumstances that would cause an information collection to be conducted in a manner inconsistent with 5 CFR Part 1320:</w:t>
      </w:r>
    </w:p>
    <w:p w:rsidR="0051709A" w14:paraId="785A9936" w14:textId="77777777">
      <w:pPr>
        <w:rPr>
          <w:color w:val="000000"/>
        </w:rPr>
      </w:pPr>
    </w:p>
    <w:p w:rsidR="009A271C" w:rsidRPr="000429F8" w:rsidP="000429F8" w14:paraId="46B4A3FB" w14:textId="77777777">
      <w:pPr>
        <w:ind w:firstLine="720"/>
        <w:rPr>
          <w:color w:val="000000"/>
        </w:rPr>
      </w:pPr>
      <w:r>
        <w:t>The information collection is conducted in accordance with the requirements of 5 CFR Part 1320.</w:t>
      </w:r>
    </w:p>
    <w:p w:rsidR="009A271C" w14:paraId="1B03A0D6" w14:textId="77777777">
      <w:pPr>
        <w:pStyle w:val="BodyText"/>
        <w:rPr>
          <w:b/>
          <w:bCs/>
          <w:color w:val="000000"/>
        </w:rPr>
      </w:pPr>
    </w:p>
    <w:p w:rsidR="0051709A" w14:paraId="753E049C" w14:textId="77777777">
      <w:pPr>
        <w:pStyle w:val="BodyText"/>
        <w:rPr>
          <w:b/>
          <w:bCs/>
          <w:color w:val="000000"/>
        </w:rPr>
      </w:pPr>
      <w:r>
        <w:rPr>
          <w:b/>
          <w:bCs/>
          <w:color w:val="000000"/>
        </w:rPr>
        <w:t>8.  Efforts to consult with persons outside the agency:</w:t>
      </w:r>
    </w:p>
    <w:p w:rsidR="0051709A" w14:paraId="6743D0D3" w14:textId="77777777">
      <w:pPr>
        <w:rPr>
          <w:color w:val="000000"/>
        </w:rPr>
      </w:pPr>
    </w:p>
    <w:p w:rsidR="00CE786A" w:rsidP="008F1652" w14:paraId="58B4BBF7" w14:textId="28196552">
      <w:pPr>
        <w:rPr>
          <w:bCs/>
        </w:rPr>
      </w:pPr>
      <w:bookmarkStart w:id="1" w:name="_Hlk160007020"/>
      <w:r>
        <w:rPr>
          <w:bCs/>
        </w:rPr>
        <w:t xml:space="preserve">The OCC issued a 60-day </w:t>
      </w:r>
      <w:r w:rsidRPr="00B32F4C">
        <w:rPr>
          <w:bCs/>
          <w:i/>
        </w:rPr>
        <w:t xml:space="preserve">Federal Register </w:t>
      </w:r>
      <w:r>
        <w:rPr>
          <w:bCs/>
        </w:rPr>
        <w:t xml:space="preserve">notice on </w:t>
      </w:r>
      <w:r w:rsidR="003B48D3">
        <w:rPr>
          <w:bCs/>
        </w:rPr>
        <w:t>December 16</w:t>
      </w:r>
      <w:r w:rsidR="00922BA6">
        <w:rPr>
          <w:bCs/>
        </w:rPr>
        <w:t>,</w:t>
      </w:r>
      <w:r w:rsidR="009B1BC5">
        <w:rPr>
          <w:bCs/>
        </w:rPr>
        <w:t xml:space="preserve"> 20</w:t>
      </w:r>
      <w:r w:rsidR="00BB31A5">
        <w:rPr>
          <w:bCs/>
        </w:rPr>
        <w:t>2</w:t>
      </w:r>
      <w:r w:rsidR="00033334">
        <w:rPr>
          <w:bCs/>
        </w:rPr>
        <w:t>5</w:t>
      </w:r>
      <w:r w:rsidR="009B1BC5">
        <w:rPr>
          <w:bCs/>
        </w:rPr>
        <w:t>,</w:t>
      </w:r>
      <w:r w:rsidR="009E7C2D">
        <w:rPr>
          <w:bCs/>
        </w:rPr>
        <w:t xml:space="preserve"> </w:t>
      </w:r>
      <w:r w:rsidR="003B48D3">
        <w:rPr>
          <w:bCs/>
        </w:rPr>
        <w:t>90</w:t>
      </w:r>
      <w:r w:rsidR="009E7C2D">
        <w:rPr>
          <w:bCs/>
        </w:rPr>
        <w:t xml:space="preserve"> FR </w:t>
      </w:r>
      <w:r w:rsidR="003B48D3">
        <w:rPr>
          <w:bCs/>
        </w:rPr>
        <w:t>58370</w:t>
      </w:r>
      <w:r w:rsidR="009B1BC5">
        <w:rPr>
          <w:bCs/>
        </w:rPr>
        <w:t>.</w:t>
      </w:r>
      <w:r w:rsidR="0044411A">
        <w:rPr>
          <w:bCs/>
        </w:rPr>
        <w:t xml:space="preserve">  </w:t>
      </w:r>
      <w:r w:rsidR="00974243">
        <w:rPr>
          <w:bCs/>
        </w:rPr>
        <w:t xml:space="preserve">Two </w:t>
      </w:r>
      <w:r w:rsidR="0044411A">
        <w:rPr>
          <w:bCs/>
        </w:rPr>
        <w:t>comments were received.</w:t>
      </w:r>
      <w:r w:rsidR="00BB31A5">
        <w:rPr>
          <w:bCs/>
        </w:rPr>
        <w:t xml:space="preserve">  </w:t>
      </w:r>
      <w:bookmarkEnd w:id="1"/>
      <w:r w:rsidR="00AC40C9">
        <w:rPr>
          <w:bCs/>
        </w:rPr>
        <w:t xml:space="preserve">Both commenters </w:t>
      </w:r>
      <w:r w:rsidR="00491C6C">
        <w:rPr>
          <w:bCs/>
        </w:rPr>
        <w:t>urg</w:t>
      </w:r>
      <w:r w:rsidR="00AC40C9">
        <w:rPr>
          <w:bCs/>
        </w:rPr>
        <w:t xml:space="preserve">ed the OCC </w:t>
      </w:r>
      <w:r w:rsidR="00491C6C">
        <w:rPr>
          <w:bCs/>
        </w:rPr>
        <w:t xml:space="preserve">to </w:t>
      </w:r>
      <w:r w:rsidR="00B21A1B">
        <w:rPr>
          <w:bCs/>
        </w:rPr>
        <w:t xml:space="preserve">offer support for several </w:t>
      </w:r>
      <w:r w:rsidR="003F0B9C">
        <w:rPr>
          <w:bCs/>
        </w:rPr>
        <w:t xml:space="preserve">substantive </w:t>
      </w:r>
      <w:r w:rsidR="000E3054">
        <w:rPr>
          <w:bCs/>
        </w:rPr>
        <w:t>amendments to the CFPB’s Prepaid Account rules.</w:t>
      </w:r>
      <w:r>
        <w:rPr>
          <w:rStyle w:val="FootnoteReference"/>
          <w:bCs/>
        </w:rPr>
        <w:footnoteReference w:id="8"/>
      </w:r>
      <w:r w:rsidR="00093EF6">
        <w:rPr>
          <w:bCs/>
        </w:rPr>
        <w:t xml:space="preserve"> </w:t>
      </w:r>
      <w:r w:rsidR="00163033">
        <w:rPr>
          <w:bCs/>
        </w:rPr>
        <w:t xml:space="preserve"> </w:t>
      </w:r>
      <w:r w:rsidR="009273ED">
        <w:rPr>
          <w:bCs/>
        </w:rPr>
        <w:t xml:space="preserve">The OCC </w:t>
      </w:r>
      <w:r w:rsidR="00CE243D">
        <w:rPr>
          <w:bCs/>
        </w:rPr>
        <w:t>appreciates the commenters</w:t>
      </w:r>
      <w:r w:rsidR="00DF559B">
        <w:rPr>
          <w:bCs/>
        </w:rPr>
        <w:t>’</w:t>
      </w:r>
      <w:r w:rsidR="00CE243D">
        <w:rPr>
          <w:bCs/>
        </w:rPr>
        <w:t xml:space="preserve"> </w:t>
      </w:r>
      <w:r w:rsidR="00427F5A">
        <w:rPr>
          <w:bCs/>
        </w:rPr>
        <w:t xml:space="preserve">suggestions and </w:t>
      </w:r>
      <w:r w:rsidR="009273ED">
        <w:rPr>
          <w:bCs/>
        </w:rPr>
        <w:t>will</w:t>
      </w:r>
      <w:r w:rsidR="00052260">
        <w:rPr>
          <w:bCs/>
        </w:rPr>
        <w:t xml:space="preserve"> take them into consideration</w:t>
      </w:r>
      <w:r w:rsidR="00C8052C">
        <w:rPr>
          <w:bCs/>
        </w:rPr>
        <w:t>.</w:t>
      </w:r>
      <w:r w:rsidR="0096619A">
        <w:rPr>
          <w:bCs/>
        </w:rPr>
        <w:t xml:space="preserve">  As the commenters </w:t>
      </w:r>
      <w:r w:rsidR="001C42EB">
        <w:rPr>
          <w:bCs/>
        </w:rPr>
        <w:t>indicated</w:t>
      </w:r>
      <w:r w:rsidR="0096619A">
        <w:rPr>
          <w:bCs/>
        </w:rPr>
        <w:t xml:space="preserve">, </w:t>
      </w:r>
      <w:r w:rsidR="00C652BC">
        <w:rPr>
          <w:bCs/>
        </w:rPr>
        <w:t>for purposes of the Prepaid Account rules,</w:t>
      </w:r>
      <w:r w:rsidRPr="00C652BC" w:rsidR="00C652BC">
        <w:rPr>
          <w:bCs/>
        </w:rPr>
        <w:t xml:space="preserve"> Congress provided the CFPB with </w:t>
      </w:r>
      <w:r w:rsidR="00E74D2D">
        <w:rPr>
          <w:bCs/>
        </w:rPr>
        <w:t>exclusive rulemaking authority</w:t>
      </w:r>
      <w:r w:rsidR="001C42EB">
        <w:rPr>
          <w:bCs/>
        </w:rPr>
        <w:t>.</w:t>
      </w:r>
      <w:r>
        <w:rPr>
          <w:rStyle w:val="FootnoteReference"/>
          <w:bCs/>
        </w:rPr>
        <w:footnoteReference w:id="9"/>
      </w:r>
    </w:p>
    <w:p w:rsidR="00B027E9" w:rsidP="00CE786A" w14:paraId="1FD57C2D" w14:textId="77777777">
      <w:pPr>
        <w:ind w:firstLine="720"/>
        <w:rPr>
          <w:color w:val="000000"/>
        </w:rPr>
      </w:pPr>
    </w:p>
    <w:p w:rsidR="0051709A" w14:paraId="099CE2EC" w14:textId="77777777">
      <w:pPr>
        <w:pStyle w:val="BodyText"/>
        <w:rPr>
          <w:b/>
          <w:bCs/>
          <w:color w:val="000000"/>
        </w:rPr>
      </w:pPr>
      <w:r>
        <w:rPr>
          <w:b/>
          <w:bCs/>
          <w:color w:val="000000"/>
        </w:rPr>
        <w:t>9.  Payment or gift to respondents:</w:t>
      </w:r>
    </w:p>
    <w:p w:rsidR="0051709A" w14:paraId="62BA1BEC" w14:textId="77777777">
      <w:pPr>
        <w:rPr>
          <w:color w:val="000000"/>
        </w:rPr>
      </w:pPr>
    </w:p>
    <w:p w:rsidR="0051709A" w:rsidP="000429F8" w14:paraId="18CE22AD" w14:textId="77777777">
      <w:pPr>
        <w:ind w:firstLine="720"/>
        <w:rPr>
          <w:color w:val="000000"/>
        </w:rPr>
      </w:pPr>
      <w:r>
        <w:rPr>
          <w:color w:val="000000"/>
        </w:rPr>
        <w:t>None.</w:t>
      </w:r>
    </w:p>
    <w:p w:rsidR="0051709A" w14:paraId="3714F694" w14:textId="77777777">
      <w:pPr>
        <w:rPr>
          <w:color w:val="000000"/>
        </w:rPr>
      </w:pPr>
    </w:p>
    <w:p w:rsidR="0051709A" w14:paraId="3A445A4B" w14:textId="77777777">
      <w:pPr>
        <w:pStyle w:val="BodyText"/>
        <w:rPr>
          <w:b/>
          <w:bCs/>
          <w:color w:val="000000"/>
        </w:rPr>
      </w:pPr>
      <w:r>
        <w:rPr>
          <w:b/>
          <w:bCs/>
          <w:color w:val="000000"/>
        </w:rPr>
        <w:t>10.  Any assurance of confidentiality:</w:t>
      </w:r>
    </w:p>
    <w:p w:rsidR="0051709A" w14:paraId="6B48B082" w14:textId="77777777">
      <w:pPr>
        <w:rPr>
          <w:color w:val="000000"/>
        </w:rPr>
      </w:pPr>
    </w:p>
    <w:p w:rsidR="0051709A" w:rsidP="000429F8" w14:paraId="5EA84D15" w14:textId="77777777">
      <w:pPr>
        <w:ind w:firstLine="720"/>
        <w:rPr>
          <w:color w:val="000000"/>
        </w:rPr>
      </w:pPr>
      <w:r>
        <w:rPr>
          <w:color w:val="000000"/>
        </w:rPr>
        <w:t>None.</w:t>
      </w:r>
    </w:p>
    <w:p w:rsidR="0051709A" w14:paraId="79A20128" w14:textId="77777777">
      <w:pPr>
        <w:rPr>
          <w:color w:val="000000"/>
        </w:rPr>
      </w:pPr>
    </w:p>
    <w:p w:rsidR="0051709A" w14:paraId="57135643" w14:textId="77777777">
      <w:pPr>
        <w:pStyle w:val="BodyText"/>
        <w:rPr>
          <w:b/>
          <w:bCs/>
          <w:color w:val="000000"/>
        </w:rPr>
      </w:pPr>
      <w:r>
        <w:rPr>
          <w:b/>
          <w:bCs/>
          <w:color w:val="000000"/>
        </w:rPr>
        <w:t>11.  Justification for questions of a sensitive nature:</w:t>
      </w:r>
    </w:p>
    <w:p w:rsidR="0051709A" w14:paraId="1BE13690" w14:textId="77777777">
      <w:pPr>
        <w:rPr>
          <w:color w:val="000000"/>
        </w:rPr>
      </w:pPr>
    </w:p>
    <w:p w:rsidR="009A271C" w:rsidP="000429F8" w14:paraId="29F6ED35" w14:textId="77777777">
      <w:pPr>
        <w:ind w:firstLine="720"/>
        <w:rPr>
          <w:color w:val="000000"/>
        </w:rPr>
      </w:pPr>
      <w:r>
        <w:rPr>
          <w:color w:val="000000"/>
        </w:rPr>
        <w:t>There are no questions of a sensitive nature.</w:t>
      </w:r>
    </w:p>
    <w:p w:rsidR="001C6B5A" w:rsidP="009A271C" w14:paraId="00F6DB41" w14:textId="77777777">
      <w:pPr>
        <w:rPr>
          <w:b/>
          <w:i/>
        </w:rPr>
      </w:pPr>
    </w:p>
    <w:p w:rsidR="0051709A" w:rsidRPr="009A271C" w:rsidP="009A271C" w14:paraId="19460DA7" w14:textId="77777777">
      <w:pPr>
        <w:rPr>
          <w:b/>
          <w:i/>
          <w:color w:val="000000"/>
        </w:rPr>
      </w:pPr>
      <w:r w:rsidRPr="009A271C">
        <w:rPr>
          <w:b/>
          <w:i/>
        </w:rPr>
        <w:t>12.  Burden estimate:</w:t>
      </w:r>
    </w:p>
    <w:p w:rsidR="00BF285A" w14:paraId="2318BABB" w14:textId="0D243B22">
      <w:pPr>
        <w:pStyle w:val="BodyText"/>
        <w:rPr>
          <w:b/>
          <w:bCs/>
          <w:color w:val="000000"/>
        </w:rPr>
      </w:pPr>
    </w:p>
    <w:p w:rsidR="00BB31A5" w:rsidRPr="00BE7F37" w14:paraId="41FD51AE" w14:textId="7EB7ED25">
      <w:pPr>
        <w:pStyle w:val="BodyText"/>
        <w:rPr>
          <w:bCs/>
          <w:i w:val="0"/>
          <w:color w:val="000000"/>
        </w:rPr>
      </w:pPr>
      <w:r w:rsidRPr="00BE7F37">
        <w:rPr>
          <w:bCs/>
          <w:i w:val="0"/>
          <w:color w:val="000000"/>
        </w:rPr>
        <w:t>Number of Respondents:</w:t>
      </w:r>
      <w:r w:rsidRPr="00BE7F37" w:rsidR="001A2D62">
        <w:rPr>
          <w:bCs/>
          <w:i w:val="0"/>
          <w:color w:val="000000"/>
        </w:rPr>
        <w:t xml:space="preserve"> </w:t>
      </w:r>
      <w:r w:rsidR="00881C80">
        <w:rPr>
          <w:bCs/>
          <w:i w:val="0"/>
          <w:color w:val="000000"/>
        </w:rPr>
        <w:t>998</w:t>
      </w:r>
      <w:r w:rsidRPr="00BE7F37" w:rsidR="003F6829">
        <w:rPr>
          <w:bCs/>
          <w:i w:val="0"/>
          <w:color w:val="000000"/>
        </w:rPr>
        <w:t xml:space="preserve"> </w:t>
      </w:r>
    </w:p>
    <w:p w:rsidR="00A43C19" w14:paraId="163ADB4A" w14:textId="6ECF5366">
      <w:pPr>
        <w:pStyle w:val="BodyText"/>
        <w:rPr>
          <w:bCs/>
          <w:i w:val="0"/>
          <w:color w:val="000000"/>
        </w:rPr>
      </w:pPr>
      <w:r>
        <w:rPr>
          <w:bCs/>
          <w:i w:val="0"/>
          <w:color w:val="000000"/>
        </w:rPr>
        <w:t>Responses per Respondent: 1</w:t>
      </w:r>
    </w:p>
    <w:p w:rsidR="00BB31A5" w14:paraId="6769C6F8" w14:textId="1B105D13">
      <w:pPr>
        <w:pStyle w:val="BodyText"/>
        <w:rPr>
          <w:bCs/>
          <w:i w:val="0"/>
          <w:color w:val="000000"/>
        </w:rPr>
      </w:pPr>
      <w:r>
        <w:rPr>
          <w:bCs/>
          <w:i w:val="0"/>
          <w:color w:val="000000"/>
        </w:rPr>
        <w:t xml:space="preserve">Hours </w:t>
      </w:r>
      <w:r w:rsidRPr="00BE7F37">
        <w:rPr>
          <w:bCs/>
          <w:i w:val="0"/>
          <w:color w:val="000000"/>
        </w:rPr>
        <w:t>per Respondent:</w:t>
      </w:r>
      <w:r w:rsidRPr="00BE7F37" w:rsidR="003F6829">
        <w:rPr>
          <w:bCs/>
          <w:i w:val="0"/>
          <w:color w:val="000000"/>
        </w:rPr>
        <w:t xml:space="preserve"> </w:t>
      </w:r>
      <w:r w:rsidRPr="00BE7F37" w:rsidR="00BE0D1A">
        <w:rPr>
          <w:bCs/>
          <w:i w:val="0"/>
          <w:color w:val="000000"/>
        </w:rPr>
        <w:t>5.971971</w:t>
      </w:r>
      <w:r w:rsidR="001735E7">
        <w:rPr>
          <w:bCs/>
          <w:i w:val="0"/>
          <w:color w:val="000000"/>
        </w:rPr>
        <w:t xml:space="preserve"> </w:t>
      </w:r>
    </w:p>
    <w:p w:rsidR="00C0793E" w14:paraId="1E2D8EBC" w14:textId="71119B5A">
      <w:pPr>
        <w:pStyle w:val="BodyText"/>
        <w:rPr>
          <w:bCs/>
          <w:i w:val="0"/>
          <w:color w:val="000000"/>
        </w:rPr>
      </w:pPr>
      <w:r>
        <w:rPr>
          <w:bCs/>
          <w:i w:val="0"/>
          <w:color w:val="000000"/>
        </w:rPr>
        <w:t xml:space="preserve">Total </w:t>
      </w:r>
      <w:r w:rsidR="00A43C19">
        <w:rPr>
          <w:bCs/>
          <w:i w:val="0"/>
          <w:color w:val="000000"/>
        </w:rPr>
        <w:t xml:space="preserve">Annual </w:t>
      </w:r>
      <w:r>
        <w:rPr>
          <w:bCs/>
          <w:i w:val="0"/>
          <w:color w:val="000000"/>
        </w:rPr>
        <w:t xml:space="preserve">Responses:  </w:t>
      </w:r>
      <w:r w:rsidR="00881C80">
        <w:rPr>
          <w:bCs/>
          <w:i w:val="0"/>
          <w:color w:val="000000"/>
        </w:rPr>
        <w:t>998</w:t>
      </w:r>
    </w:p>
    <w:p w:rsidR="00BB31A5" w14:paraId="564EC253" w14:textId="493F38EE">
      <w:pPr>
        <w:pStyle w:val="BodyText"/>
        <w:rPr>
          <w:bCs/>
          <w:i w:val="0"/>
          <w:color w:val="000000"/>
        </w:rPr>
      </w:pPr>
      <w:r>
        <w:rPr>
          <w:bCs/>
          <w:i w:val="0"/>
          <w:color w:val="000000"/>
        </w:rPr>
        <w:t xml:space="preserve">Total </w:t>
      </w:r>
      <w:r w:rsidR="00A43C19">
        <w:rPr>
          <w:bCs/>
          <w:i w:val="0"/>
          <w:color w:val="000000"/>
        </w:rPr>
        <w:t xml:space="preserve">Annual </w:t>
      </w:r>
      <w:r>
        <w:rPr>
          <w:bCs/>
          <w:i w:val="0"/>
          <w:color w:val="000000"/>
        </w:rPr>
        <w:t>Burden</w:t>
      </w:r>
      <w:r w:rsidR="00A43C19">
        <w:rPr>
          <w:bCs/>
          <w:i w:val="0"/>
          <w:color w:val="000000"/>
        </w:rPr>
        <w:t xml:space="preserve"> (Hours)</w:t>
      </w:r>
      <w:r w:rsidRPr="00BE7F37">
        <w:rPr>
          <w:bCs/>
          <w:i w:val="0"/>
          <w:color w:val="000000"/>
        </w:rPr>
        <w:t xml:space="preserve">:  </w:t>
      </w:r>
      <w:r w:rsidR="00F24504">
        <w:rPr>
          <w:bCs/>
          <w:i w:val="0"/>
          <w:color w:val="000000"/>
        </w:rPr>
        <w:t>5,960</w:t>
      </w:r>
    </w:p>
    <w:p w:rsidR="00BB31A5" w:rsidRPr="00BB31A5" w14:paraId="7B396ABE" w14:textId="77777777">
      <w:pPr>
        <w:pStyle w:val="BodyText"/>
        <w:rPr>
          <w:bCs/>
          <w:i w:val="0"/>
          <w:color w:val="000000"/>
        </w:rPr>
      </w:pPr>
    </w:p>
    <w:p w:rsidR="000A4144" w14:paraId="06C06736" w14:textId="77777777">
      <w:pPr>
        <w:pStyle w:val="BodyText"/>
        <w:rPr>
          <w:b/>
          <w:bCs/>
          <w:i w:val="0"/>
          <w:color w:val="000000"/>
        </w:rPr>
      </w:pPr>
      <w:r>
        <w:rPr>
          <w:b/>
          <w:bCs/>
          <w:i w:val="0"/>
          <w:color w:val="000000"/>
        </w:rPr>
        <w:t>Cost of Hour Burden</w:t>
      </w:r>
    </w:p>
    <w:p w:rsidR="000A4144" w14:paraId="1E443CD7" w14:textId="77777777">
      <w:pPr>
        <w:pStyle w:val="BodyText"/>
        <w:rPr>
          <w:b/>
          <w:bCs/>
          <w:i w:val="0"/>
          <w:color w:val="000000"/>
        </w:rPr>
      </w:pPr>
    </w:p>
    <w:p w:rsidR="000A4144" w14:paraId="0DFBF7E1" w14:textId="4305337B">
      <w:pPr>
        <w:pStyle w:val="BodyText"/>
        <w:rPr>
          <w:b/>
          <w:bCs/>
          <w:i w:val="0"/>
          <w:color w:val="000000"/>
        </w:rPr>
      </w:pPr>
      <w:r>
        <w:rPr>
          <w:b/>
          <w:bCs/>
          <w:i w:val="0"/>
          <w:color w:val="000000"/>
        </w:rPr>
        <w:t>5,960</w:t>
      </w:r>
      <w:r w:rsidR="000B18E2">
        <w:rPr>
          <w:b/>
          <w:bCs/>
          <w:i w:val="0"/>
          <w:color w:val="000000"/>
        </w:rPr>
        <w:t xml:space="preserve"> </w:t>
      </w:r>
      <w:r w:rsidR="009B1BC5">
        <w:rPr>
          <w:b/>
          <w:bCs/>
          <w:i w:val="0"/>
          <w:color w:val="000000"/>
        </w:rPr>
        <w:t xml:space="preserve">hours </w:t>
      </w:r>
      <w:r w:rsidRPr="00F02B71" w:rsidR="009B1BC5">
        <w:rPr>
          <w:b/>
          <w:i w:val="0"/>
          <w:color w:val="000000"/>
        </w:rPr>
        <w:t>x $</w:t>
      </w:r>
      <w:r w:rsidR="009B1BC5">
        <w:rPr>
          <w:b/>
          <w:bCs/>
          <w:i w:val="0"/>
          <w:color w:val="000000"/>
        </w:rPr>
        <w:t>1</w:t>
      </w:r>
      <w:r w:rsidR="00033334">
        <w:rPr>
          <w:b/>
          <w:bCs/>
          <w:i w:val="0"/>
          <w:color w:val="000000"/>
        </w:rPr>
        <w:t>31.10</w:t>
      </w:r>
      <w:r>
        <w:rPr>
          <w:b/>
          <w:bCs/>
          <w:i w:val="0"/>
          <w:color w:val="000000"/>
        </w:rPr>
        <w:t xml:space="preserve"> = </w:t>
      </w:r>
      <w:r w:rsidR="00F02B71">
        <w:rPr>
          <w:b/>
          <w:bCs/>
          <w:i w:val="0"/>
          <w:color w:val="000000"/>
        </w:rPr>
        <w:t>$</w:t>
      </w:r>
      <w:r w:rsidRPr="005860F7" w:rsidR="005860F7">
        <w:rPr>
          <w:b/>
          <w:bCs/>
          <w:i w:val="0"/>
          <w:color w:val="000000"/>
        </w:rPr>
        <w:t>7</w:t>
      </w:r>
      <w:r w:rsidR="00FC5AC0">
        <w:rPr>
          <w:b/>
          <w:bCs/>
          <w:i w:val="0"/>
          <w:color w:val="000000"/>
        </w:rPr>
        <w:t>81</w:t>
      </w:r>
      <w:r w:rsidRPr="005860F7" w:rsidR="005860F7">
        <w:rPr>
          <w:b/>
          <w:bCs/>
          <w:i w:val="0"/>
          <w:color w:val="000000"/>
        </w:rPr>
        <w:t>,</w:t>
      </w:r>
      <w:r w:rsidR="00FC5AC0">
        <w:rPr>
          <w:b/>
          <w:bCs/>
          <w:i w:val="0"/>
          <w:color w:val="000000"/>
        </w:rPr>
        <w:t>356</w:t>
      </w:r>
    </w:p>
    <w:p w:rsidR="005860F7" w14:paraId="66F6BE5E" w14:textId="77777777">
      <w:pPr>
        <w:pStyle w:val="BodyText"/>
        <w:rPr>
          <w:b/>
          <w:bCs/>
          <w:i w:val="0"/>
          <w:color w:val="000000"/>
        </w:rPr>
      </w:pPr>
    </w:p>
    <w:p w:rsidR="006C38DE" w:rsidP="006C38DE" w14:paraId="0BA97564" w14:textId="0F005550">
      <w:pPr>
        <w:tabs>
          <w:tab w:val="left" w:pos="-1440"/>
        </w:tabs>
        <w:rPr>
          <w:color w:val="000000"/>
        </w:rPr>
      </w:pPr>
      <w:r w:rsidRPr="00033334">
        <w:rPr>
          <w:color w:val="000000"/>
        </w:rPr>
        <w:t>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  </w:t>
      </w:r>
    </w:p>
    <w:p w:rsidR="000A4144" w:rsidRPr="000A4144" w14:paraId="2B53D781" w14:textId="77777777">
      <w:pPr>
        <w:pStyle w:val="BodyText"/>
        <w:rPr>
          <w:b/>
          <w:bCs/>
          <w:i w:val="0"/>
          <w:color w:val="000000"/>
        </w:rPr>
      </w:pPr>
    </w:p>
    <w:p w:rsidR="0051709A" w14:paraId="4A7F2ECE" w14:textId="77777777">
      <w:pPr>
        <w:pStyle w:val="BodyText"/>
        <w:rPr>
          <w:b/>
          <w:bCs/>
          <w:color w:val="000000"/>
        </w:rPr>
      </w:pPr>
      <w:r>
        <w:rPr>
          <w:b/>
          <w:bCs/>
          <w:color w:val="000000"/>
        </w:rPr>
        <w:t>13.  Estimate of total annual costs to respondents (excluding cost of hour burden in Item #12):</w:t>
      </w:r>
    </w:p>
    <w:p w:rsidR="0051709A" w14:paraId="0C335E7E" w14:textId="77777777">
      <w:pPr>
        <w:rPr>
          <w:color w:val="000000"/>
        </w:rPr>
      </w:pPr>
    </w:p>
    <w:p w:rsidR="0051709A" w:rsidP="00B35C58" w14:paraId="29BCD075" w14:textId="77777777">
      <w:pPr>
        <w:ind w:firstLine="720"/>
        <w:rPr>
          <w:color w:val="000000"/>
        </w:rPr>
      </w:pPr>
      <w:r>
        <w:rPr>
          <w:color w:val="000000"/>
        </w:rPr>
        <w:t>None.</w:t>
      </w:r>
    </w:p>
    <w:p w:rsidR="0051709A" w14:paraId="4B95D352" w14:textId="77777777">
      <w:pPr>
        <w:rPr>
          <w:color w:val="000000"/>
        </w:rPr>
      </w:pPr>
    </w:p>
    <w:p w:rsidR="0051709A" w14:paraId="4DD8E12E" w14:textId="77777777">
      <w:pPr>
        <w:pStyle w:val="BodyText"/>
        <w:rPr>
          <w:b/>
          <w:bCs/>
          <w:color w:val="000000"/>
        </w:rPr>
      </w:pPr>
      <w:r>
        <w:rPr>
          <w:b/>
          <w:bCs/>
          <w:color w:val="000000"/>
        </w:rPr>
        <w:t xml:space="preserve">14.  Estimate of annualized costs to the </w:t>
      </w:r>
      <w:r w:rsidR="00123913">
        <w:rPr>
          <w:b/>
          <w:bCs/>
          <w:color w:val="000000"/>
        </w:rPr>
        <w:t>f</w:t>
      </w:r>
      <w:r>
        <w:rPr>
          <w:b/>
          <w:bCs/>
          <w:color w:val="000000"/>
        </w:rPr>
        <w:t>ederal government:</w:t>
      </w:r>
    </w:p>
    <w:p w:rsidR="0051709A" w14:paraId="14438D3C" w14:textId="77777777">
      <w:pPr>
        <w:rPr>
          <w:color w:val="000000"/>
        </w:rPr>
      </w:pPr>
    </w:p>
    <w:p w:rsidR="0051709A" w:rsidP="00B35C58" w14:paraId="7E8E035F" w14:textId="77777777">
      <w:pPr>
        <w:ind w:firstLine="720"/>
        <w:rPr>
          <w:color w:val="000000"/>
        </w:rPr>
      </w:pPr>
      <w:r>
        <w:rPr>
          <w:color w:val="000000"/>
        </w:rPr>
        <w:t>None.</w:t>
      </w:r>
    </w:p>
    <w:p w:rsidR="0051709A" w14:paraId="292445C7" w14:textId="77777777">
      <w:pPr>
        <w:rPr>
          <w:color w:val="000000"/>
        </w:rPr>
      </w:pPr>
    </w:p>
    <w:p w:rsidR="0051709A" w14:paraId="6F95BD47" w14:textId="77777777">
      <w:pPr>
        <w:pStyle w:val="BodyText"/>
        <w:rPr>
          <w:b/>
          <w:bCs/>
          <w:color w:val="000000"/>
        </w:rPr>
      </w:pPr>
      <w:r>
        <w:rPr>
          <w:b/>
          <w:bCs/>
          <w:color w:val="000000"/>
        </w:rPr>
        <w:t>15.  Change in burden:</w:t>
      </w:r>
    </w:p>
    <w:p w:rsidR="0051709A" w14:paraId="5E8B52C3" w14:textId="77777777">
      <w:pPr>
        <w:rPr>
          <w:color w:val="000000"/>
        </w:rPr>
      </w:pPr>
    </w:p>
    <w:p w:rsidR="000A4144" w14:paraId="21F2FA5A" w14:textId="555719FF">
      <w:pPr>
        <w:rPr>
          <w:color w:val="000000"/>
        </w:rPr>
      </w:pPr>
      <w:r>
        <w:rPr>
          <w:color w:val="000000"/>
        </w:rPr>
        <w:t>Current</w:t>
      </w:r>
      <w:r w:rsidR="0051709A">
        <w:rPr>
          <w:color w:val="000000"/>
        </w:rPr>
        <w:t xml:space="preserve"> burden:</w:t>
      </w:r>
      <w:r w:rsidR="0051709A">
        <w:rPr>
          <w:color w:val="000000"/>
        </w:rPr>
        <w:tab/>
      </w:r>
      <w:r w:rsidR="00BA5824">
        <w:rPr>
          <w:color w:val="000000"/>
        </w:rPr>
        <w:t>6,605 hours.</w:t>
      </w:r>
    </w:p>
    <w:p w:rsidR="000A4144" w14:paraId="017B1DAD" w14:textId="77777777">
      <w:pPr>
        <w:rPr>
          <w:color w:val="000000"/>
        </w:rPr>
      </w:pPr>
    </w:p>
    <w:p w:rsidR="000A4144" w14:paraId="6B2E1431" w14:textId="3994DA8A">
      <w:pPr>
        <w:rPr>
          <w:color w:val="000000"/>
        </w:rPr>
      </w:pPr>
      <w:r>
        <w:rPr>
          <w:color w:val="000000"/>
        </w:rPr>
        <w:t>Revised bu</w:t>
      </w:r>
      <w:r w:rsidR="0051709A">
        <w:rPr>
          <w:color w:val="000000"/>
        </w:rPr>
        <w:t>rden:</w:t>
      </w:r>
      <w:r w:rsidR="0051709A">
        <w:rPr>
          <w:color w:val="000000"/>
        </w:rPr>
        <w:tab/>
      </w:r>
      <w:r w:rsidR="008D7E3F">
        <w:rPr>
          <w:color w:val="000000"/>
        </w:rPr>
        <w:t>5,960</w:t>
      </w:r>
      <w:r w:rsidR="00BA5824">
        <w:rPr>
          <w:color w:val="000000"/>
        </w:rPr>
        <w:t xml:space="preserve"> hours.</w:t>
      </w:r>
    </w:p>
    <w:p w:rsidR="0051709A" w14:paraId="61C98B4B" w14:textId="77777777">
      <w:pPr>
        <w:rPr>
          <w:color w:val="000000"/>
        </w:rPr>
      </w:pPr>
      <w:r>
        <w:rPr>
          <w:color w:val="000000"/>
        </w:rPr>
        <w:tab/>
      </w:r>
      <w:r w:rsidR="00B37BB7">
        <w:rPr>
          <w:color w:val="000000"/>
        </w:rPr>
        <w:t xml:space="preserve"> </w:t>
      </w:r>
    </w:p>
    <w:p w:rsidR="002112CB" w14:paraId="0BF1AC6B" w14:textId="1E90A658">
      <w:pPr>
        <w:rPr>
          <w:color w:val="000000"/>
        </w:rPr>
      </w:pPr>
      <w:r>
        <w:rPr>
          <w:color w:val="000000"/>
        </w:rPr>
        <w:t xml:space="preserve">Difference: </w:t>
      </w:r>
      <w:r>
        <w:rPr>
          <w:color w:val="000000"/>
        </w:rPr>
        <w:tab/>
      </w:r>
      <w:r w:rsidR="00061205">
        <w:rPr>
          <w:color w:val="000000"/>
        </w:rPr>
        <w:tab/>
      </w:r>
      <w:r w:rsidR="00A43C19">
        <w:rPr>
          <w:color w:val="000000"/>
        </w:rPr>
        <w:t>-</w:t>
      </w:r>
      <w:r w:rsidR="006026C9">
        <w:rPr>
          <w:color w:val="000000"/>
        </w:rPr>
        <w:t>645</w:t>
      </w:r>
      <w:r w:rsidR="00ED01BD">
        <w:rPr>
          <w:color w:val="000000"/>
        </w:rPr>
        <w:t xml:space="preserve"> hours.</w:t>
      </w:r>
    </w:p>
    <w:p w:rsidR="0051709A" w14:paraId="51703520" w14:textId="77777777">
      <w:pPr>
        <w:rPr>
          <w:color w:val="000000"/>
        </w:rPr>
      </w:pPr>
      <w:r>
        <w:rPr>
          <w:color w:val="000000"/>
        </w:rPr>
        <w:tab/>
      </w:r>
      <w:r w:rsidR="00B37BB7">
        <w:rPr>
          <w:color w:val="000000"/>
        </w:rPr>
        <w:t xml:space="preserve"> </w:t>
      </w:r>
    </w:p>
    <w:p w:rsidR="00D331B3" w14:paraId="58B2E590" w14:textId="2B433031">
      <w:pPr>
        <w:pStyle w:val="Footer"/>
        <w:tabs>
          <w:tab w:val="clear" w:pos="4320"/>
          <w:tab w:val="clear" w:pos="8640"/>
        </w:tabs>
        <w:rPr>
          <w:color w:val="000000"/>
        </w:rPr>
      </w:pPr>
      <w:r>
        <w:rPr>
          <w:color w:val="000000"/>
        </w:rPr>
        <w:t xml:space="preserve">The </w:t>
      </w:r>
      <w:r w:rsidR="00BB31A5">
        <w:rPr>
          <w:color w:val="000000"/>
        </w:rPr>
        <w:t xml:space="preserve">decrease </w:t>
      </w:r>
      <w:r>
        <w:rPr>
          <w:color w:val="000000"/>
        </w:rPr>
        <w:t>in burden is due to</w:t>
      </w:r>
      <w:r w:rsidR="00ED01BD">
        <w:rPr>
          <w:color w:val="000000"/>
        </w:rPr>
        <w:t xml:space="preserve"> a decrease in the number of respondents</w:t>
      </w:r>
      <w:r w:rsidR="00BB31A5">
        <w:rPr>
          <w:color w:val="000000"/>
        </w:rPr>
        <w:t>.</w:t>
      </w:r>
    </w:p>
    <w:p w:rsidR="00D331B3" w14:paraId="621DB674" w14:textId="77777777">
      <w:pPr>
        <w:pStyle w:val="Footer"/>
        <w:tabs>
          <w:tab w:val="clear" w:pos="4320"/>
          <w:tab w:val="clear" w:pos="8640"/>
        </w:tabs>
        <w:rPr>
          <w:color w:val="000000"/>
        </w:rPr>
      </w:pPr>
    </w:p>
    <w:p w:rsidR="0051709A" w14:paraId="28ED649F" w14:textId="77777777">
      <w:pPr>
        <w:pStyle w:val="BodyText"/>
        <w:rPr>
          <w:b/>
          <w:bCs/>
          <w:color w:val="000000"/>
        </w:rPr>
      </w:pPr>
      <w:r>
        <w:rPr>
          <w:b/>
          <w:bCs/>
          <w:color w:val="000000"/>
        </w:rPr>
        <w:t>16.  Information regarding collections whose results are to be published for statistical use:</w:t>
      </w:r>
    </w:p>
    <w:p w:rsidR="0051709A" w14:paraId="3639F17E" w14:textId="77777777">
      <w:pPr>
        <w:rPr>
          <w:color w:val="000000"/>
        </w:rPr>
      </w:pPr>
    </w:p>
    <w:p w:rsidR="0051709A" w:rsidP="00B35C58" w14:paraId="67F23E6C" w14:textId="77777777">
      <w:pPr>
        <w:ind w:firstLine="720"/>
        <w:rPr>
          <w:color w:val="000000"/>
        </w:rPr>
      </w:pPr>
      <w:r>
        <w:rPr>
          <w:color w:val="000000"/>
        </w:rPr>
        <w:t>The OCC has no plans to publish the information for statistical purposes.</w:t>
      </w:r>
    </w:p>
    <w:p w:rsidR="0051709A" w14:paraId="5351924B" w14:textId="77777777">
      <w:pPr>
        <w:rPr>
          <w:color w:val="000000"/>
        </w:rPr>
      </w:pPr>
    </w:p>
    <w:p w:rsidR="0051709A" w14:paraId="7B663803" w14:textId="77777777">
      <w:pPr>
        <w:pStyle w:val="BodyText"/>
        <w:rPr>
          <w:b/>
          <w:bCs/>
          <w:color w:val="000000"/>
        </w:rPr>
      </w:pPr>
      <w:r>
        <w:rPr>
          <w:b/>
          <w:bCs/>
          <w:color w:val="000000"/>
        </w:rPr>
        <w:t>17.  Reasons for not displaying OMB approval expiration date:</w:t>
      </w:r>
    </w:p>
    <w:p w:rsidR="0051709A" w14:paraId="1B7FB318" w14:textId="77777777">
      <w:pPr>
        <w:rPr>
          <w:color w:val="000000"/>
        </w:rPr>
      </w:pPr>
    </w:p>
    <w:p w:rsidR="0051709A" w:rsidP="00B35C58" w14:paraId="0D0657B2" w14:textId="77777777">
      <w:pPr>
        <w:ind w:firstLine="720"/>
        <w:rPr>
          <w:color w:val="000000"/>
        </w:rPr>
      </w:pPr>
      <w:r>
        <w:rPr>
          <w:color w:val="000000"/>
        </w:rPr>
        <w:t xml:space="preserve">Not applicable.  </w:t>
      </w:r>
    </w:p>
    <w:p w:rsidR="0051709A" w14:paraId="475EEF14" w14:textId="77777777">
      <w:pPr>
        <w:rPr>
          <w:color w:val="000000"/>
        </w:rPr>
      </w:pPr>
    </w:p>
    <w:p w:rsidR="0051709A" w14:paraId="20069A93" w14:textId="77777777">
      <w:pPr>
        <w:pStyle w:val="BodyText"/>
        <w:rPr>
          <w:b/>
          <w:bCs/>
          <w:color w:val="000000"/>
        </w:rPr>
      </w:pPr>
      <w:r>
        <w:rPr>
          <w:b/>
          <w:bCs/>
          <w:color w:val="000000"/>
        </w:rPr>
        <w:t>18.  Exceptions to the certification statement in Item 19 of OMB Form 83-I:</w:t>
      </w:r>
    </w:p>
    <w:p w:rsidR="0051709A" w14:paraId="3864B7BE" w14:textId="77777777">
      <w:pPr>
        <w:rPr>
          <w:color w:val="000000"/>
        </w:rPr>
      </w:pPr>
    </w:p>
    <w:p w:rsidR="0051709A" w:rsidP="00B35C58" w14:paraId="0AE9D2A9" w14:textId="77777777">
      <w:pPr>
        <w:ind w:firstLine="720"/>
        <w:rPr>
          <w:color w:val="000000"/>
        </w:rPr>
      </w:pPr>
      <w:r>
        <w:rPr>
          <w:color w:val="000000"/>
        </w:rPr>
        <w:t>None.</w:t>
      </w:r>
    </w:p>
    <w:p w:rsidR="0051709A" w14:paraId="474360AE" w14:textId="77777777">
      <w:pPr>
        <w:rPr>
          <w:b/>
          <w:bCs/>
          <w:color w:val="000000"/>
        </w:rPr>
      </w:pPr>
    </w:p>
    <w:p w:rsidR="0051709A" w14:paraId="7EE0D164" w14:textId="77777777">
      <w:pPr>
        <w:rPr>
          <w:color w:val="000000"/>
        </w:rPr>
      </w:pPr>
      <w:r>
        <w:rPr>
          <w:b/>
          <w:bCs/>
          <w:color w:val="000000"/>
        </w:rPr>
        <w:t>B.  Collections of Information Employing Statistical Methods.</w:t>
      </w:r>
    </w:p>
    <w:p w:rsidR="0051709A" w14:paraId="11CDF5E6" w14:textId="77777777">
      <w:pPr>
        <w:rPr>
          <w:color w:val="000000"/>
        </w:rPr>
      </w:pPr>
    </w:p>
    <w:p w:rsidR="0051709A" w:rsidP="00B35C58" w14:paraId="255F22BE" w14:textId="77777777">
      <w:pPr>
        <w:ind w:firstLine="720"/>
        <w:rPr>
          <w:color w:val="000000"/>
        </w:rPr>
      </w:pPr>
      <w:r>
        <w:rPr>
          <w:color w:val="000000"/>
        </w:rPr>
        <w:t>Not applicable.</w:t>
      </w:r>
    </w:p>
    <w:p w:rsidR="0051709A" w14:paraId="4DC4909D" w14:textId="77777777">
      <w:pPr>
        <w:rPr>
          <w:color w:val="000000"/>
        </w:rPr>
      </w:pPr>
    </w:p>
    <w:sectPr>
      <w:footerReference w:type="even" r:id="rId6"/>
      <w:footerReference w:type="default" r:id="rId7"/>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137E6F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58B5" w14:paraId="74774D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50066A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525">
      <w:rPr>
        <w:rStyle w:val="PageNumber"/>
        <w:noProof/>
      </w:rPr>
      <w:t>5</w:t>
    </w:r>
    <w:r>
      <w:rPr>
        <w:rStyle w:val="PageNumber"/>
      </w:rPr>
      <w:fldChar w:fldCharType="end"/>
    </w:r>
  </w:p>
  <w:p w:rsidR="003058B5" w14:paraId="212759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21E4" w14:paraId="6C00A9B3" w14:textId="77777777">
      <w:r>
        <w:separator/>
      </w:r>
    </w:p>
  </w:footnote>
  <w:footnote w:type="continuationSeparator" w:id="1">
    <w:p w:rsidR="001121E4" w14:paraId="401AF8C6" w14:textId="77777777">
      <w:r>
        <w:continuationSeparator/>
      </w:r>
    </w:p>
  </w:footnote>
  <w:footnote w:id="2">
    <w:p w:rsidR="00623DDB" w:rsidP="00623DDB" w14:paraId="0A41BE89" w14:textId="77777777">
      <w:pPr>
        <w:pStyle w:val="FootnoteText"/>
      </w:pPr>
      <w:r>
        <w:rPr>
          <w:rStyle w:val="FootnoteReference"/>
        </w:rPr>
        <w:footnoteRef/>
      </w:r>
      <w:r>
        <w:t xml:space="preserve"> 15 U.S.C. 1693 </w:t>
      </w:r>
      <w:r>
        <w:rPr>
          <w:i/>
        </w:rPr>
        <w:t>et seq</w:t>
      </w:r>
      <w:r>
        <w:t>.</w:t>
      </w:r>
    </w:p>
  </w:footnote>
  <w:footnote w:id="3">
    <w:p w:rsidR="00623DDB" w:rsidP="00623DDB" w14:paraId="17374FDC" w14:textId="7BFDD41C">
      <w:pPr>
        <w:pStyle w:val="FootnoteText"/>
      </w:pPr>
      <w:r>
        <w:rPr>
          <w:rStyle w:val="FootnoteReference"/>
        </w:rPr>
        <w:footnoteRef/>
      </w:r>
      <w:r>
        <w:t xml:space="preserve"> 12 CFR part 1005.</w:t>
      </w:r>
      <w:r w:rsidR="00D9438C">
        <w:t xml:space="preserve"> </w:t>
      </w:r>
      <w:r w:rsidR="00527D1F">
        <w:t xml:space="preserve"> Information collection request number</w:t>
      </w:r>
      <w:r w:rsidRPr="00916DE6" w:rsidR="00527D1F">
        <w:t xml:space="preserve"> 202404-1557-001</w:t>
      </w:r>
      <w:r w:rsidR="00527D1F">
        <w:t xml:space="preserve"> (</w:t>
      </w:r>
      <w:r w:rsidRPr="00916DE6" w:rsidR="00527D1F">
        <w:t>OMB Control No. 1557-0</w:t>
      </w:r>
      <w:r w:rsidR="00527D1F">
        <w:t>17</w:t>
      </w:r>
      <w:r w:rsidRPr="00916DE6" w:rsidR="00527D1F">
        <w:t>6</w:t>
      </w:r>
      <w:r w:rsidR="00527D1F">
        <w:t>) covers other information collections made pursuant to Regulation E.</w:t>
      </w:r>
    </w:p>
  </w:footnote>
  <w:footnote w:id="4">
    <w:p w:rsidR="00AD06EF" w:rsidP="00AD06EF" w14:paraId="162CD2E6" w14:textId="77777777">
      <w:pPr>
        <w:pStyle w:val="FootnoteText"/>
      </w:pPr>
      <w:r>
        <w:rPr>
          <w:rStyle w:val="FootnoteReference"/>
        </w:rPr>
        <w:footnoteRef/>
      </w:r>
      <w:r>
        <w:rPr>
          <w:vertAlign w:val="superscript"/>
        </w:rPr>
        <w:t xml:space="preserve"> </w:t>
      </w:r>
      <w:r>
        <w:t>12 CFR 1005.18(e)(1) and (2).</w:t>
      </w:r>
    </w:p>
  </w:footnote>
  <w:footnote w:id="5">
    <w:p w:rsidR="00AD06EF" w14:paraId="03A269F2" w14:textId="0396977C">
      <w:pPr>
        <w:pStyle w:val="FootnoteText"/>
      </w:pPr>
      <w:r>
        <w:rPr>
          <w:rStyle w:val="FootnoteReference"/>
        </w:rPr>
        <w:footnoteRef/>
      </w:r>
      <w:r>
        <w:t xml:space="preserve"> 12 CFR 1005.18(d)(1)(ii).</w:t>
      </w:r>
    </w:p>
  </w:footnote>
  <w:footnote w:id="6">
    <w:p w:rsidR="0099470C" w14:paraId="0468E537" w14:textId="63F8EB9C">
      <w:pPr>
        <w:pStyle w:val="FootnoteText"/>
      </w:pPr>
      <w:r>
        <w:rPr>
          <w:rStyle w:val="FootnoteReference"/>
        </w:rPr>
        <w:footnoteRef/>
      </w:r>
      <w:r>
        <w:t xml:space="preserve"> 12 CFR 1005.19(a)(1).</w:t>
      </w:r>
    </w:p>
  </w:footnote>
  <w:footnote w:id="7">
    <w:p w:rsidR="00241003" w14:paraId="473265A0" w14:textId="10490977">
      <w:pPr>
        <w:pStyle w:val="FootnoteText"/>
      </w:pPr>
      <w:r>
        <w:rPr>
          <w:rStyle w:val="FootnoteReference"/>
        </w:rPr>
        <w:footnoteRef/>
      </w:r>
      <w:r>
        <w:t xml:space="preserve"> 12 CFR 1005.19(a)(3).</w:t>
      </w:r>
    </w:p>
  </w:footnote>
  <w:footnote w:id="8">
    <w:p w:rsidR="000E3054" w:rsidRPr="001B243C" w14:paraId="0E89E930" w14:textId="0C47A5DF">
      <w:pPr>
        <w:pStyle w:val="FootnoteText"/>
      </w:pPr>
      <w:r>
        <w:rPr>
          <w:rStyle w:val="FootnoteReference"/>
        </w:rPr>
        <w:footnoteRef/>
      </w:r>
      <w:r>
        <w:t xml:space="preserve"> </w:t>
      </w:r>
      <w:r w:rsidR="00CB2998">
        <w:rPr>
          <w:bCs/>
        </w:rPr>
        <w:t>These suggestions include: (1) removing the long form disclosure requirements; (2) remov</w:t>
      </w:r>
      <w:r w:rsidR="003B1507">
        <w:rPr>
          <w:bCs/>
        </w:rPr>
        <w:t>ing</w:t>
      </w:r>
      <w:r w:rsidR="00CB2998">
        <w:rPr>
          <w:bCs/>
        </w:rPr>
        <w:t xml:space="preserve"> the requirements for electronic disclosures provided pursuant to the rules to be responsive to different screen sizes and be machine readable; (3) remov</w:t>
      </w:r>
      <w:r w:rsidR="003B1507">
        <w:rPr>
          <w:bCs/>
        </w:rPr>
        <w:t>ing</w:t>
      </w:r>
      <w:r w:rsidR="00CB2998">
        <w:rPr>
          <w:bCs/>
        </w:rPr>
        <w:t xml:space="preserve"> the short form disclosure for additional fee types; (4) reduc</w:t>
      </w:r>
      <w:r w:rsidR="0084465D">
        <w:rPr>
          <w:bCs/>
        </w:rPr>
        <w:t>ing</w:t>
      </w:r>
      <w:r w:rsidR="00CB2998">
        <w:rPr>
          <w:bCs/>
        </w:rPr>
        <w:t xml:space="preserve"> the requirement for prepaid card issuers to maintain account transaction history from 24 months to 12 months; and (5) remov</w:t>
      </w:r>
      <w:r w:rsidR="0084465D">
        <w:rPr>
          <w:bCs/>
        </w:rPr>
        <w:t>ing</w:t>
      </w:r>
      <w:r w:rsidR="00CB2998">
        <w:rPr>
          <w:bCs/>
        </w:rPr>
        <w:t xml:space="preserve"> the requirement that </w:t>
      </w:r>
      <w:r w:rsidR="0084465D">
        <w:rPr>
          <w:bCs/>
        </w:rPr>
        <w:t xml:space="preserve">card </w:t>
      </w:r>
      <w:r w:rsidR="00CB2998">
        <w:rPr>
          <w:bCs/>
        </w:rPr>
        <w:t xml:space="preserve">issuers provide written transaction histories to consumers at no charge. </w:t>
      </w:r>
    </w:p>
  </w:footnote>
  <w:footnote w:id="9">
    <w:p w:rsidR="001C42EB" w14:paraId="6C4341A5" w14:textId="4F22247A">
      <w:pPr>
        <w:pStyle w:val="FootnoteText"/>
      </w:pPr>
      <w:r>
        <w:rPr>
          <w:rStyle w:val="FootnoteReference"/>
        </w:rPr>
        <w:footnoteRef/>
      </w:r>
      <w:r>
        <w:t xml:space="preserve"> </w:t>
      </w:r>
      <w:r w:rsidR="00C35052">
        <w:t xml:space="preserve">To the extent commenters requested that the OCC amend the Prepaid Account final rules, the OCC lacks the requisite rulemaking authority.  </w:t>
      </w:r>
      <w:r w:rsidR="00C35052">
        <w:rPr>
          <w:i/>
          <w:iCs/>
        </w:rPr>
        <w:t>See</w:t>
      </w:r>
      <w:r w:rsidR="00C35052">
        <w:t xml:space="preserve"> 15 U.S.C. 1693b(a)</w:t>
      </w:r>
      <w:r w:rsidR="00804D4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203E05"/>
    <w:multiLevelType w:val="hybridMultilevel"/>
    <w:tmpl w:val="F05A4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CA2053"/>
    <w:multiLevelType w:val="hybridMultilevel"/>
    <w:tmpl w:val="78D27BB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1E850535"/>
    <w:multiLevelType w:val="hybridMultilevel"/>
    <w:tmpl w:val="E70C36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74A0C43"/>
    <w:multiLevelType w:val="hybridMultilevel"/>
    <w:tmpl w:val="0A581D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E154DDB"/>
    <w:multiLevelType w:val="hybridMultilevel"/>
    <w:tmpl w:val="1908AF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5D6E1395"/>
    <w:multiLevelType w:val="multilevel"/>
    <w:tmpl w:val="9BF6A9A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5FD660C6"/>
    <w:multiLevelType w:val="hybridMultilevel"/>
    <w:tmpl w:val="7C180F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0051028">
    <w:abstractNumId w:val="1"/>
  </w:num>
  <w:num w:numId="2" w16cid:durableId="1336954823">
    <w:abstractNumId w:val="13"/>
  </w:num>
  <w:num w:numId="3" w16cid:durableId="898250266">
    <w:abstractNumId w:val="9"/>
  </w:num>
  <w:num w:numId="4" w16cid:durableId="602802366">
    <w:abstractNumId w:val="9"/>
  </w:num>
  <w:num w:numId="5" w16cid:durableId="26682662">
    <w:abstractNumId w:val="2"/>
  </w:num>
  <w:num w:numId="6" w16cid:durableId="2115634417">
    <w:abstractNumId w:val="2"/>
  </w:num>
  <w:num w:numId="7" w16cid:durableId="749934636">
    <w:abstractNumId w:val="2"/>
  </w:num>
  <w:num w:numId="8" w16cid:durableId="2090493490">
    <w:abstractNumId w:val="2"/>
  </w:num>
  <w:num w:numId="9" w16cid:durableId="1591351227">
    <w:abstractNumId w:val="2"/>
  </w:num>
  <w:num w:numId="10" w16cid:durableId="1437561725">
    <w:abstractNumId w:val="2"/>
  </w:num>
  <w:num w:numId="11" w16cid:durableId="872888278">
    <w:abstractNumId w:val="2"/>
  </w:num>
  <w:num w:numId="12" w16cid:durableId="1570382077">
    <w:abstractNumId w:val="2"/>
  </w:num>
  <w:num w:numId="13" w16cid:durableId="1253585357">
    <w:abstractNumId w:val="9"/>
  </w:num>
  <w:num w:numId="14" w16cid:durableId="1876891565">
    <w:abstractNumId w:val="9"/>
  </w:num>
  <w:num w:numId="15" w16cid:durableId="1015306637">
    <w:abstractNumId w:val="9"/>
  </w:num>
  <w:num w:numId="16" w16cid:durableId="2113015846">
    <w:abstractNumId w:val="9"/>
  </w:num>
  <w:num w:numId="17" w16cid:durableId="1320117208">
    <w:abstractNumId w:val="0"/>
  </w:num>
  <w:num w:numId="18" w16cid:durableId="890458392">
    <w:abstractNumId w:val="3"/>
  </w:num>
  <w:num w:numId="19" w16cid:durableId="189345207">
    <w:abstractNumId w:val="8"/>
  </w:num>
  <w:num w:numId="20" w16cid:durableId="958991069">
    <w:abstractNumId w:val="14"/>
  </w:num>
  <w:num w:numId="21" w16cid:durableId="1776707489">
    <w:abstractNumId w:val="7"/>
  </w:num>
  <w:num w:numId="22" w16cid:durableId="1573542241">
    <w:abstractNumId w:val="4"/>
  </w:num>
  <w:num w:numId="23" w16cid:durableId="783378709">
    <w:abstractNumId w:val="6"/>
  </w:num>
  <w:num w:numId="24" w16cid:durableId="1259605049">
    <w:abstractNumId w:val="5"/>
  </w:num>
  <w:num w:numId="25" w16cid:durableId="2114085554">
    <w:abstractNumId w:val="12"/>
  </w:num>
  <w:num w:numId="26" w16cid:durableId="1633901390">
    <w:abstractNumId w:val="10"/>
  </w:num>
  <w:num w:numId="27" w16cid:durableId="902329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25"/>
    <w:rsid w:val="00000C35"/>
    <w:rsid w:val="00000C7E"/>
    <w:rsid w:val="00003302"/>
    <w:rsid w:val="000077EA"/>
    <w:rsid w:val="0002059E"/>
    <w:rsid w:val="00020AB3"/>
    <w:rsid w:val="00024083"/>
    <w:rsid w:val="0003174B"/>
    <w:rsid w:val="00032FBF"/>
    <w:rsid w:val="00033334"/>
    <w:rsid w:val="0003678A"/>
    <w:rsid w:val="000429F8"/>
    <w:rsid w:val="00042A79"/>
    <w:rsid w:val="00045FA5"/>
    <w:rsid w:val="0004792A"/>
    <w:rsid w:val="00052260"/>
    <w:rsid w:val="00056C76"/>
    <w:rsid w:val="00061205"/>
    <w:rsid w:val="000732E2"/>
    <w:rsid w:val="00081F26"/>
    <w:rsid w:val="000903EC"/>
    <w:rsid w:val="00093EF6"/>
    <w:rsid w:val="00094127"/>
    <w:rsid w:val="000976C2"/>
    <w:rsid w:val="000A4144"/>
    <w:rsid w:val="000B18E2"/>
    <w:rsid w:val="000B2636"/>
    <w:rsid w:val="000D3D3C"/>
    <w:rsid w:val="000D4607"/>
    <w:rsid w:val="000E3054"/>
    <w:rsid w:val="0010090B"/>
    <w:rsid w:val="001121E4"/>
    <w:rsid w:val="00112B75"/>
    <w:rsid w:val="00123913"/>
    <w:rsid w:val="00131C66"/>
    <w:rsid w:val="00136525"/>
    <w:rsid w:val="0013796A"/>
    <w:rsid w:val="0014060E"/>
    <w:rsid w:val="00146058"/>
    <w:rsid w:val="001466D8"/>
    <w:rsid w:val="00146794"/>
    <w:rsid w:val="001468A6"/>
    <w:rsid w:val="00153911"/>
    <w:rsid w:val="0015493B"/>
    <w:rsid w:val="00156213"/>
    <w:rsid w:val="00160EF3"/>
    <w:rsid w:val="00163033"/>
    <w:rsid w:val="00164623"/>
    <w:rsid w:val="00164C9C"/>
    <w:rsid w:val="0017043D"/>
    <w:rsid w:val="00172F24"/>
    <w:rsid w:val="001735E7"/>
    <w:rsid w:val="0017568B"/>
    <w:rsid w:val="00180740"/>
    <w:rsid w:val="0018617A"/>
    <w:rsid w:val="0018644D"/>
    <w:rsid w:val="00186ED7"/>
    <w:rsid w:val="001965B6"/>
    <w:rsid w:val="001A034B"/>
    <w:rsid w:val="001A2D62"/>
    <w:rsid w:val="001A2EDF"/>
    <w:rsid w:val="001A7070"/>
    <w:rsid w:val="001B10F5"/>
    <w:rsid w:val="001B243C"/>
    <w:rsid w:val="001C18AC"/>
    <w:rsid w:val="001C42EB"/>
    <w:rsid w:val="001C6B5A"/>
    <w:rsid w:val="001C705C"/>
    <w:rsid w:val="001D2345"/>
    <w:rsid w:val="001D25DC"/>
    <w:rsid w:val="001D3BB1"/>
    <w:rsid w:val="001D67D1"/>
    <w:rsid w:val="001E0A12"/>
    <w:rsid w:val="001E3340"/>
    <w:rsid w:val="001E33F3"/>
    <w:rsid w:val="001E7213"/>
    <w:rsid w:val="001F6818"/>
    <w:rsid w:val="002035FE"/>
    <w:rsid w:val="00203C0F"/>
    <w:rsid w:val="002112CB"/>
    <w:rsid w:val="00212527"/>
    <w:rsid w:val="0021595B"/>
    <w:rsid w:val="00240D95"/>
    <w:rsid w:val="00241003"/>
    <w:rsid w:val="002504FE"/>
    <w:rsid w:val="00257709"/>
    <w:rsid w:val="0026241C"/>
    <w:rsid w:val="0026750D"/>
    <w:rsid w:val="0026786D"/>
    <w:rsid w:val="00271250"/>
    <w:rsid w:val="002719DA"/>
    <w:rsid w:val="0028032E"/>
    <w:rsid w:val="00283A34"/>
    <w:rsid w:val="00291096"/>
    <w:rsid w:val="00297535"/>
    <w:rsid w:val="00297CC5"/>
    <w:rsid w:val="002B1BD4"/>
    <w:rsid w:val="002B32B2"/>
    <w:rsid w:val="002B7253"/>
    <w:rsid w:val="002C7FFE"/>
    <w:rsid w:val="002D27DD"/>
    <w:rsid w:val="002D3094"/>
    <w:rsid w:val="002D4893"/>
    <w:rsid w:val="002D6281"/>
    <w:rsid w:val="002E33A1"/>
    <w:rsid w:val="002F0CDF"/>
    <w:rsid w:val="002F272E"/>
    <w:rsid w:val="002F637C"/>
    <w:rsid w:val="003024C3"/>
    <w:rsid w:val="003058B5"/>
    <w:rsid w:val="00312DFA"/>
    <w:rsid w:val="0033064B"/>
    <w:rsid w:val="00330F2E"/>
    <w:rsid w:val="00341F49"/>
    <w:rsid w:val="00342908"/>
    <w:rsid w:val="00344499"/>
    <w:rsid w:val="00354EAF"/>
    <w:rsid w:val="00357171"/>
    <w:rsid w:val="003618F7"/>
    <w:rsid w:val="00370630"/>
    <w:rsid w:val="00371B30"/>
    <w:rsid w:val="00375494"/>
    <w:rsid w:val="00387640"/>
    <w:rsid w:val="003A5ABE"/>
    <w:rsid w:val="003B1507"/>
    <w:rsid w:val="003B48D3"/>
    <w:rsid w:val="003C0A58"/>
    <w:rsid w:val="003C43D4"/>
    <w:rsid w:val="003C5162"/>
    <w:rsid w:val="003C5F80"/>
    <w:rsid w:val="003C7D1A"/>
    <w:rsid w:val="003D4083"/>
    <w:rsid w:val="003D6D1C"/>
    <w:rsid w:val="003E2687"/>
    <w:rsid w:val="003E6935"/>
    <w:rsid w:val="003F0B9C"/>
    <w:rsid w:val="003F6829"/>
    <w:rsid w:val="004024F4"/>
    <w:rsid w:val="0040617C"/>
    <w:rsid w:val="00415ADB"/>
    <w:rsid w:val="00427F5A"/>
    <w:rsid w:val="0043060F"/>
    <w:rsid w:val="0043160D"/>
    <w:rsid w:val="004335BB"/>
    <w:rsid w:val="0044411A"/>
    <w:rsid w:val="0044648C"/>
    <w:rsid w:val="00453B8A"/>
    <w:rsid w:val="0046055A"/>
    <w:rsid w:val="004741B8"/>
    <w:rsid w:val="0048405C"/>
    <w:rsid w:val="00491C6C"/>
    <w:rsid w:val="00491FCD"/>
    <w:rsid w:val="004A2B43"/>
    <w:rsid w:val="004A33A4"/>
    <w:rsid w:val="004C53A4"/>
    <w:rsid w:val="004C7D91"/>
    <w:rsid w:val="004D2CFF"/>
    <w:rsid w:val="004D39DE"/>
    <w:rsid w:val="004D7A48"/>
    <w:rsid w:val="00501CF2"/>
    <w:rsid w:val="005044F1"/>
    <w:rsid w:val="0050594B"/>
    <w:rsid w:val="0051709A"/>
    <w:rsid w:val="005221C3"/>
    <w:rsid w:val="00523B8E"/>
    <w:rsid w:val="00524C35"/>
    <w:rsid w:val="00527D1F"/>
    <w:rsid w:val="00542EF2"/>
    <w:rsid w:val="00555394"/>
    <w:rsid w:val="005570EE"/>
    <w:rsid w:val="00560223"/>
    <w:rsid w:val="0056185D"/>
    <w:rsid w:val="00562F0F"/>
    <w:rsid w:val="005675AB"/>
    <w:rsid w:val="00575076"/>
    <w:rsid w:val="00585ABF"/>
    <w:rsid w:val="005860F7"/>
    <w:rsid w:val="00593EEE"/>
    <w:rsid w:val="00597EAF"/>
    <w:rsid w:val="005A6D76"/>
    <w:rsid w:val="005B4717"/>
    <w:rsid w:val="005B6406"/>
    <w:rsid w:val="005C0AE2"/>
    <w:rsid w:val="005C310C"/>
    <w:rsid w:val="005C6F19"/>
    <w:rsid w:val="005D2AD2"/>
    <w:rsid w:val="005E4215"/>
    <w:rsid w:val="005E58F7"/>
    <w:rsid w:val="005F1A23"/>
    <w:rsid w:val="005F440A"/>
    <w:rsid w:val="005F70E4"/>
    <w:rsid w:val="00601D88"/>
    <w:rsid w:val="006026C9"/>
    <w:rsid w:val="006037C2"/>
    <w:rsid w:val="00606463"/>
    <w:rsid w:val="00611617"/>
    <w:rsid w:val="00623DDB"/>
    <w:rsid w:val="00624AE6"/>
    <w:rsid w:val="00627925"/>
    <w:rsid w:val="00632D92"/>
    <w:rsid w:val="00641631"/>
    <w:rsid w:val="0064178C"/>
    <w:rsid w:val="006476A1"/>
    <w:rsid w:val="00657C95"/>
    <w:rsid w:val="00670327"/>
    <w:rsid w:val="00673B11"/>
    <w:rsid w:val="00681826"/>
    <w:rsid w:val="00685C8D"/>
    <w:rsid w:val="0068742D"/>
    <w:rsid w:val="00692B5D"/>
    <w:rsid w:val="00696868"/>
    <w:rsid w:val="006A1916"/>
    <w:rsid w:val="006A2208"/>
    <w:rsid w:val="006A2F9F"/>
    <w:rsid w:val="006B40D8"/>
    <w:rsid w:val="006C3736"/>
    <w:rsid w:val="006C38DE"/>
    <w:rsid w:val="006C53FB"/>
    <w:rsid w:val="006C749E"/>
    <w:rsid w:val="006C7C76"/>
    <w:rsid w:val="006D19BE"/>
    <w:rsid w:val="006D535A"/>
    <w:rsid w:val="006E4703"/>
    <w:rsid w:val="007149CD"/>
    <w:rsid w:val="00716CCA"/>
    <w:rsid w:val="00722148"/>
    <w:rsid w:val="00735F09"/>
    <w:rsid w:val="007501C2"/>
    <w:rsid w:val="00753CFF"/>
    <w:rsid w:val="00756398"/>
    <w:rsid w:val="00756754"/>
    <w:rsid w:val="00756E21"/>
    <w:rsid w:val="0076144A"/>
    <w:rsid w:val="007726B9"/>
    <w:rsid w:val="007732CA"/>
    <w:rsid w:val="0077568D"/>
    <w:rsid w:val="007765A6"/>
    <w:rsid w:val="00785BD8"/>
    <w:rsid w:val="00797F47"/>
    <w:rsid w:val="007A2589"/>
    <w:rsid w:val="007A3D3A"/>
    <w:rsid w:val="007A4323"/>
    <w:rsid w:val="007A4A3A"/>
    <w:rsid w:val="007B43E2"/>
    <w:rsid w:val="007B6321"/>
    <w:rsid w:val="007B6ADD"/>
    <w:rsid w:val="007C544B"/>
    <w:rsid w:val="007D718F"/>
    <w:rsid w:val="007D7EE6"/>
    <w:rsid w:val="007F0D8B"/>
    <w:rsid w:val="007F33E2"/>
    <w:rsid w:val="00804D46"/>
    <w:rsid w:val="008069FD"/>
    <w:rsid w:val="008132DF"/>
    <w:rsid w:val="008138EF"/>
    <w:rsid w:val="00815227"/>
    <w:rsid w:val="00821885"/>
    <w:rsid w:val="008222F0"/>
    <w:rsid w:val="00822BB4"/>
    <w:rsid w:val="008374DA"/>
    <w:rsid w:val="0084465D"/>
    <w:rsid w:val="008473A8"/>
    <w:rsid w:val="00847554"/>
    <w:rsid w:val="008579F7"/>
    <w:rsid w:val="00862D9B"/>
    <w:rsid w:val="00863893"/>
    <w:rsid w:val="00875207"/>
    <w:rsid w:val="00876806"/>
    <w:rsid w:val="00881C80"/>
    <w:rsid w:val="00882FE4"/>
    <w:rsid w:val="00883FA6"/>
    <w:rsid w:val="00890AB7"/>
    <w:rsid w:val="00891902"/>
    <w:rsid w:val="008924FB"/>
    <w:rsid w:val="008A58AC"/>
    <w:rsid w:val="008A643D"/>
    <w:rsid w:val="008B661A"/>
    <w:rsid w:val="008C6440"/>
    <w:rsid w:val="008C70DC"/>
    <w:rsid w:val="008D0847"/>
    <w:rsid w:val="008D6467"/>
    <w:rsid w:val="008D7795"/>
    <w:rsid w:val="008D7E3F"/>
    <w:rsid w:val="008E0842"/>
    <w:rsid w:val="008E0FA3"/>
    <w:rsid w:val="008E25ED"/>
    <w:rsid w:val="008E599E"/>
    <w:rsid w:val="008F021D"/>
    <w:rsid w:val="008F11DE"/>
    <w:rsid w:val="008F1652"/>
    <w:rsid w:val="008F5E5F"/>
    <w:rsid w:val="00916DE6"/>
    <w:rsid w:val="009177F7"/>
    <w:rsid w:val="00922BA6"/>
    <w:rsid w:val="00924A92"/>
    <w:rsid w:val="009253F8"/>
    <w:rsid w:val="009273ED"/>
    <w:rsid w:val="00927B27"/>
    <w:rsid w:val="00934C19"/>
    <w:rsid w:val="009360E7"/>
    <w:rsid w:val="0093781D"/>
    <w:rsid w:val="00944FB5"/>
    <w:rsid w:val="00946CAF"/>
    <w:rsid w:val="00953FEC"/>
    <w:rsid w:val="00960C77"/>
    <w:rsid w:val="009623EF"/>
    <w:rsid w:val="0096619A"/>
    <w:rsid w:val="00967825"/>
    <w:rsid w:val="009714D4"/>
    <w:rsid w:val="00974243"/>
    <w:rsid w:val="00975575"/>
    <w:rsid w:val="00975A62"/>
    <w:rsid w:val="00976B2D"/>
    <w:rsid w:val="00981E48"/>
    <w:rsid w:val="00983B3B"/>
    <w:rsid w:val="0099470C"/>
    <w:rsid w:val="00995F60"/>
    <w:rsid w:val="00997FD0"/>
    <w:rsid w:val="009A00DA"/>
    <w:rsid w:val="009A271C"/>
    <w:rsid w:val="009A5067"/>
    <w:rsid w:val="009B0F9C"/>
    <w:rsid w:val="009B1BC5"/>
    <w:rsid w:val="009C0F83"/>
    <w:rsid w:val="009E7AC0"/>
    <w:rsid w:val="009E7C2D"/>
    <w:rsid w:val="009F110A"/>
    <w:rsid w:val="009F2DE2"/>
    <w:rsid w:val="009F4755"/>
    <w:rsid w:val="00A11956"/>
    <w:rsid w:val="00A121E7"/>
    <w:rsid w:val="00A16646"/>
    <w:rsid w:val="00A216AE"/>
    <w:rsid w:val="00A2457F"/>
    <w:rsid w:val="00A30DBC"/>
    <w:rsid w:val="00A34F29"/>
    <w:rsid w:val="00A35623"/>
    <w:rsid w:val="00A367D0"/>
    <w:rsid w:val="00A36C24"/>
    <w:rsid w:val="00A37FCF"/>
    <w:rsid w:val="00A43C19"/>
    <w:rsid w:val="00A554C2"/>
    <w:rsid w:val="00A637EA"/>
    <w:rsid w:val="00A658F6"/>
    <w:rsid w:val="00A70C9F"/>
    <w:rsid w:val="00A72474"/>
    <w:rsid w:val="00A73FE6"/>
    <w:rsid w:val="00A77A45"/>
    <w:rsid w:val="00A87283"/>
    <w:rsid w:val="00A96AEC"/>
    <w:rsid w:val="00AA4733"/>
    <w:rsid w:val="00AA611C"/>
    <w:rsid w:val="00AB7DFA"/>
    <w:rsid w:val="00AC08C7"/>
    <w:rsid w:val="00AC40C9"/>
    <w:rsid w:val="00AC6A28"/>
    <w:rsid w:val="00AC6EEB"/>
    <w:rsid w:val="00AC733D"/>
    <w:rsid w:val="00AD06EF"/>
    <w:rsid w:val="00AD17AA"/>
    <w:rsid w:val="00AD1AD6"/>
    <w:rsid w:val="00AD25F4"/>
    <w:rsid w:val="00AD4962"/>
    <w:rsid w:val="00AD60CA"/>
    <w:rsid w:val="00AD69A7"/>
    <w:rsid w:val="00AD71D8"/>
    <w:rsid w:val="00AE1CEF"/>
    <w:rsid w:val="00AE31DD"/>
    <w:rsid w:val="00AE3AD6"/>
    <w:rsid w:val="00AE53CE"/>
    <w:rsid w:val="00AF6BA0"/>
    <w:rsid w:val="00B027E9"/>
    <w:rsid w:val="00B12D2C"/>
    <w:rsid w:val="00B16D39"/>
    <w:rsid w:val="00B21A1B"/>
    <w:rsid w:val="00B31D81"/>
    <w:rsid w:val="00B32F4C"/>
    <w:rsid w:val="00B35C58"/>
    <w:rsid w:val="00B37BB7"/>
    <w:rsid w:val="00B44A77"/>
    <w:rsid w:val="00B4777D"/>
    <w:rsid w:val="00B47E4A"/>
    <w:rsid w:val="00B511E7"/>
    <w:rsid w:val="00B60714"/>
    <w:rsid w:val="00B6583D"/>
    <w:rsid w:val="00B7061E"/>
    <w:rsid w:val="00B73245"/>
    <w:rsid w:val="00B7628C"/>
    <w:rsid w:val="00B7714E"/>
    <w:rsid w:val="00B8002D"/>
    <w:rsid w:val="00B838B6"/>
    <w:rsid w:val="00B83ECF"/>
    <w:rsid w:val="00B927EF"/>
    <w:rsid w:val="00B92E25"/>
    <w:rsid w:val="00B9494A"/>
    <w:rsid w:val="00B955B7"/>
    <w:rsid w:val="00B97BC7"/>
    <w:rsid w:val="00BA2266"/>
    <w:rsid w:val="00BA5824"/>
    <w:rsid w:val="00BB0C1A"/>
    <w:rsid w:val="00BB31A5"/>
    <w:rsid w:val="00BB37CF"/>
    <w:rsid w:val="00BB42F2"/>
    <w:rsid w:val="00BB48B0"/>
    <w:rsid w:val="00BB5538"/>
    <w:rsid w:val="00BC21AC"/>
    <w:rsid w:val="00BD7B61"/>
    <w:rsid w:val="00BE008C"/>
    <w:rsid w:val="00BE0D1A"/>
    <w:rsid w:val="00BE4452"/>
    <w:rsid w:val="00BE715F"/>
    <w:rsid w:val="00BE7F37"/>
    <w:rsid w:val="00BF285A"/>
    <w:rsid w:val="00C0793E"/>
    <w:rsid w:val="00C11863"/>
    <w:rsid w:val="00C145E5"/>
    <w:rsid w:val="00C14FD7"/>
    <w:rsid w:val="00C2172D"/>
    <w:rsid w:val="00C21FEB"/>
    <w:rsid w:val="00C24D32"/>
    <w:rsid w:val="00C25194"/>
    <w:rsid w:val="00C26228"/>
    <w:rsid w:val="00C3345C"/>
    <w:rsid w:val="00C35052"/>
    <w:rsid w:val="00C41073"/>
    <w:rsid w:val="00C45975"/>
    <w:rsid w:val="00C471E0"/>
    <w:rsid w:val="00C55628"/>
    <w:rsid w:val="00C638A3"/>
    <w:rsid w:val="00C652BC"/>
    <w:rsid w:val="00C663B8"/>
    <w:rsid w:val="00C73CC3"/>
    <w:rsid w:val="00C8052C"/>
    <w:rsid w:val="00C8083F"/>
    <w:rsid w:val="00CB2998"/>
    <w:rsid w:val="00CC0074"/>
    <w:rsid w:val="00CC74A2"/>
    <w:rsid w:val="00CE243D"/>
    <w:rsid w:val="00CE6FE6"/>
    <w:rsid w:val="00CE786A"/>
    <w:rsid w:val="00D00195"/>
    <w:rsid w:val="00D07DE9"/>
    <w:rsid w:val="00D1092B"/>
    <w:rsid w:val="00D10E2E"/>
    <w:rsid w:val="00D12BF6"/>
    <w:rsid w:val="00D14293"/>
    <w:rsid w:val="00D262C4"/>
    <w:rsid w:val="00D331B3"/>
    <w:rsid w:val="00D37515"/>
    <w:rsid w:val="00D46AA2"/>
    <w:rsid w:val="00D47C11"/>
    <w:rsid w:val="00D5393B"/>
    <w:rsid w:val="00D541B6"/>
    <w:rsid w:val="00D5448D"/>
    <w:rsid w:val="00D76087"/>
    <w:rsid w:val="00D775EC"/>
    <w:rsid w:val="00D870DF"/>
    <w:rsid w:val="00D90449"/>
    <w:rsid w:val="00D9438C"/>
    <w:rsid w:val="00DB0C09"/>
    <w:rsid w:val="00DB1EA3"/>
    <w:rsid w:val="00DC2367"/>
    <w:rsid w:val="00DC6B5F"/>
    <w:rsid w:val="00DD19F0"/>
    <w:rsid w:val="00DD7F67"/>
    <w:rsid w:val="00DE33D8"/>
    <w:rsid w:val="00DF559B"/>
    <w:rsid w:val="00E16095"/>
    <w:rsid w:val="00E17853"/>
    <w:rsid w:val="00E245A8"/>
    <w:rsid w:val="00E316C6"/>
    <w:rsid w:val="00E42BD9"/>
    <w:rsid w:val="00E43AD9"/>
    <w:rsid w:val="00E43BAD"/>
    <w:rsid w:val="00E43F1C"/>
    <w:rsid w:val="00E51026"/>
    <w:rsid w:val="00E56F2F"/>
    <w:rsid w:val="00E6072D"/>
    <w:rsid w:val="00E656DA"/>
    <w:rsid w:val="00E66A70"/>
    <w:rsid w:val="00E7483E"/>
    <w:rsid w:val="00E74D2D"/>
    <w:rsid w:val="00E7525C"/>
    <w:rsid w:val="00E83FD7"/>
    <w:rsid w:val="00E8733D"/>
    <w:rsid w:val="00E940D8"/>
    <w:rsid w:val="00EA0DB6"/>
    <w:rsid w:val="00EA151E"/>
    <w:rsid w:val="00EA76D1"/>
    <w:rsid w:val="00EB27AA"/>
    <w:rsid w:val="00EB4089"/>
    <w:rsid w:val="00EC49D8"/>
    <w:rsid w:val="00ED01BD"/>
    <w:rsid w:val="00ED3ECD"/>
    <w:rsid w:val="00ED63DE"/>
    <w:rsid w:val="00EF1E84"/>
    <w:rsid w:val="00EF5AF5"/>
    <w:rsid w:val="00EF64FB"/>
    <w:rsid w:val="00F01977"/>
    <w:rsid w:val="00F02B71"/>
    <w:rsid w:val="00F147EE"/>
    <w:rsid w:val="00F24504"/>
    <w:rsid w:val="00F40B75"/>
    <w:rsid w:val="00F429D2"/>
    <w:rsid w:val="00F53BCA"/>
    <w:rsid w:val="00F5492F"/>
    <w:rsid w:val="00F67110"/>
    <w:rsid w:val="00F70DC3"/>
    <w:rsid w:val="00F72B9D"/>
    <w:rsid w:val="00F83450"/>
    <w:rsid w:val="00F936AC"/>
    <w:rsid w:val="00FA59E4"/>
    <w:rsid w:val="00FB4F38"/>
    <w:rsid w:val="00FB5330"/>
    <w:rsid w:val="00FB666D"/>
    <w:rsid w:val="00FC4643"/>
    <w:rsid w:val="00FC5AC0"/>
    <w:rsid w:val="00FE0D0D"/>
    <w:rsid w:val="00FE5A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86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tabs>
        <w:tab w:val="num" w:pos="360"/>
      </w:tabs>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num" w:pos="360"/>
        <w:tab w:val="clear" w:pos="1440"/>
      </w:tabs>
      <w:spacing w:line="480" w:lineRule="auto"/>
      <w:ind w:left="2160" w:firstLine="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semiHidden/>
    <w:rsid w:val="00E16095"/>
    <w:rPr>
      <w:sz w:val="16"/>
      <w:szCs w:val="16"/>
    </w:rPr>
  </w:style>
  <w:style w:type="paragraph" w:styleId="CommentText">
    <w:name w:val="annotation text"/>
    <w:basedOn w:val="Normal"/>
    <w:semiHidden/>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 w:type="paragraph" w:styleId="Revision">
    <w:name w:val="Revision"/>
    <w:hidden/>
    <w:uiPriority w:val="99"/>
    <w:semiHidden/>
    <w:rsid w:val="00AD1AD6"/>
    <w:rPr>
      <w:sz w:val="24"/>
    </w:rPr>
  </w:style>
  <w:style w:type="character" w:styleId="Strong">
    <w:name w:val="Strong"/>
    <w:basedOn w:val="DefaultParagraphFont"/>
    <w:uiPriority w:val="22"/>
    <w:qFormat/>
    <w:rsid w:val="00112B75"/>
    <w:rPr>
      <w:b/>
      <w:bCs/>
    </w:rPr>
  </w:style>
  <w:style w:type="character" w:styleId="UnresolvedMention">
    <w:name w:val="Unresolved Mention"/>
    <w:basedOn w:val="DefaultParagraphFont"/>
    <w:uiPriority w:val="99"/>
    <w:semiHidden/>
    <w:unhideWhenUsed/>
    <w:rsid w:val="00344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3C1C9-E743-4623-A0C1-5F7B117A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1238</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2026-02-24T18:57:00Z</dcterms:created>
  <dcterms:modified xsi:type="dcterms:W3CDTF">2026-02-24T18:57:00Z</dcterms:modified>
</cp:coreProperties>
</file>