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7D59D7" w14:paraId="3A4A692D" w14:textId="77777777">
      <w:pPr>
        <w:rPr>
          <w:b/>
          <w:sz w:val="28"/>
          <w:szCs w:val="28"/>
        </w:rPr>
      </w:pPr>
    </w:p>
    <w:p w:rsidR="00461BF7" w:rsidRPr="00461BF7" w14:paraId="53B1B23F" w14:textId="77777777">
      <w:pPr>
        <w:rPr>
          <w:sz w:val="28"/>
          <w:szCs w:val="28"/>
        </w:rPr>
      </w:pPr>
      <w:r w:rsidRPr="00461BF7">
        <w:rPr>
          <w:b/>
          <w:sz w:val="28"/>
          <w:szCs w:val="28"/>
        </w:rPr>
        <w:t>SUPPORTING STATEMENT FOR PAPERWORK REDUCTION ACT SUBMISSION</w:t>
      </w:r>
      <w:r w:rsidRPr="00461BF7">
        <w:rPr>
          <w:sz w:val="28"/>
          <w:szCs w:val="28"/>
        </w:rPr>
        <w:t xml:space="preserve"> </w:t>
      </w:r>
      <w:r w:rsidRPr="008E214F" w:rsidR="008E214F">
        <w:rPr>
          <w:b/>
          <w:sz w:val="28"/>
          <w:szCs w:val="28"/>
        </w:rPr>
        <w:t>15</w:t>
      </w:r>
      <w:r w:rsidR="008722B6">
        <w:rPr>
          <w:b/>
          <w:sz w:val="28"/>
          <w:szCs w:val="28"/>
        </w:rPr>
        <w:t>30-0022</w:t>
      </w:r>
    </w:p>
    <w:p w:rsidR="00461BF7" w14:paraId="630FFEFD" w14:textId="77777777">
      <w:pPr>
        <w:rPr>
          <w:sz w:val="24"/>
        </w:rPr>
      </w:pPr>
    </w:p>
    <w:p w:rsidR="00DB4DD4" w:rsidRPr="00E76584" w14:paraId="77B62385" w14:textId="77777777">
      <w:pPr>
        <w:rPr>
          <w:b/>
          <w:sz w:val="24"/>
        </w:rPr>
      </w:pPr>
      <w:r w:rsidRPr="00E76584">
        <w:rPr>
          <w:b/>
          <w:sz w:val="24"/>
        </w:rPr>
        <w:t>A.</w:t>
      </w:r>
      <w:r w:rsidRPr="00E76584">
        <w:rPr>
          <w:b/>
          <w:sz w:val="24"/>
        </w:rPr>
        <w:tab/>
      </w:r>
      <w:r w:rsidRPr="00E76584">
        <w:rPr>
          <w:b/>
          <w:sz w:val="24"/>
          <w:u w:val="single"/>
        </w:rPr>
        <w:t>Justification</w:t>
      </w:r>
      <w:r w:rsidRPr="00E76584" w:rsidR="00E76584">
        <w:rPr>
          <w:b/>
          <w:sz w:val="24"/>
          <w:u w:val="single"/>
        </w:rPr>
        <w:t>s</w:t>
      </w:r>
    </w:p>
    <w:p w:rsidR="00DB4DD4" w14:paraId="217DAFF0" w14:textId="77777777">
      <w:pPr>
        <w:rPr>
          <w:sz w:val="24"/>
        </w:rPr>
      </w:pPr>
    </w:p>
    <w:p w:rsidR="005E2597" w:rsidP="005E2597" w14:paraId="6DD33F29" w14:textId="77777777">
      <w:pPr>
        <w:rPr>
          <w:sz w:val="24"/>
        </w:rPr>
      </w:pPr>
      <w:r w:rsidRPr="00E76584">
        <w:rPr>
          <w:b/>
          <w:sz w:val="24"/>
        </w:rPr>
        <w:t>1.</w:t>
      </w:r>
      <w:r>
        <w:rPr>
          <w:sz w:val="24"/>
        </w:rPr>
        <w:t xml:space="preserve"> </w:t>
      </w:r>
      <w:r w:rsidRPr="005E2597">
        <w:rPr>
          <w:b/>
          <w:sz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Pr="005E2597">
        <w:rPr>
          <w:sz w:val="24"/>
        </w:rPr>
        <w:t xml:space="preserve"> </w:t>
      </w:r>
    </w:p>
    <w:p w:rsidR="00A93A7F" w14:paraId="5C2AF1D7" w14:textId="77777777">
      <w:pPr>
        <w:rPr>
          <w:sz w:val="24"/>
        </w:rPr>
      </w:pPr>
    </w:p>
    <w:p w:rsidR="00A93A7F" w:rsidRPr="003316BA" w14:paraId="768CBF4F" w14:textId="77777777">
      <w:pPr>
        <w:rPr>
          <w:color w:val="auto"/>
          <w:sz w:val="24"/>
          <w:szCs w:val="24"/>
        </w:rPr>
      </w:pPr>
      <w:r w:rsidRPr="003316BA">
        <w:rPr>
          <w:color w:val="auto"/>
          <w:sz w:val="24"/>
          <w:szCs w:val="24"/>
        </w:rPr>
        <w:t xml:space="preserve">This is a generic clearance to conduct customer satisfaction surveys, focus groups, and interviews among recipients of federal benefit and vendor payments through EFT. </w:t>
      </w:r>
      <w:r w:rsidRPr="003316BA" w:rsidR="00181BAE">
        <w:rPr>
          <w:color w:val="auto"/>
          <w:sz w:val="24"/>
          <w:szCs w:val="24"/>
        </w:rPr>
        <w:t>The collection of information has been active since 2003 with an original focus on</w:t>
      </w:r>
      <w:r w:rsidRPr="003316BA" w:rsidR="00181BAE">
        <w:rPr>
          <w:color w:val="auto"/>
          <w:sz w:val="24"/>
        </w:rPr>
        <w:t xml:space="preserve"> Federal beneficiaries who receive their payments via checks. It was designed to uncover barriers to EFT use, probe preferred instruments for receiving payments and test product development, delivery mechanisms, and potential policy changes that may facilitate conversion to electronic payment instruments, primarily direct deposit.  Follow up studies included qualitative testing of television and other types of advertising designed for the Social Security check recipient audience, and a telephone survey concerning attitudes toward direct deposit among general audience consumers.</w:t>
      </w:r>
      <w:r w:rsidRPr="003316BA">
        <w:rPr>
          <w:color w:val="auto"/>
          <w:sz w:val="24"/>
          <w:szCs w:val="24"/>
        </w:rPr>
        <w:t xml:space="preserve">The need for this market research continues to arise from a Congressional directive that accompanied legislation enacted in 1996, as part of the Debt Collection Improvement Act (Pub. L. No. 104-134), expanding the scope of check recipients required to use direct deposit to receive Federal benefit payments (see 31 U.S.C. 3332).  Congress directed Treasury to “study the socioeconomic and demographic characteristics of those who currently do not have Direct Deposit and determine how best to increase usage among all groups.”  142 Cong. Rec. H4090 (daily ed. April 25, 1996). </w:t>
      </w:r>
    </w:p>
    <w:p w:rsidR="00DB4DD4" w14:paraId="109443B8" w14:textId="77777777">
      <w:pPr>
        <w:rPr>
          <w:sz w:val="24"/>
        </w:rPr>
      </w:pPr>
      <w:r>
        <w:rPr>
          <w:sz w:val="24"/>
        </w:rPr>
        <w:t xml:space="preserve"> </w:t>
      </w:r>
    </w:p>
    <w:p w:rsidR="00267974" w:rsidRPr="00267974" w:rsidP="00267974" w14:paraId="22F6B3CD" w14:textId="77777777">
      <w:pPr>
        <w:rPr>
          <w:sz w:val="24"/>
          <w:szCs w:val="24"/>
        </w:rPr>
      </w:pPr>
      <w:r w:rsidRPr="00E76584">
        <w:rPr>
          <w:b/>
          <w:sz w:val="24"/>
        </w:rPr>
        <w:t>2.</w:t>
      </w:r>
      <w:r>
        <w:rPr>
          <w:sz w:val="24"/>
        </w:rPr>
        <w:t xml:space="preserve"> </w:t>
      </w:r>
      <w:r w:rsidRPr="00267974">
        <w:rPr>
          <w:b/>
          <w:sz w:val="24"/>
          <w:szCs w:val="24"/>
        </w:rPr>
        <w:t>Indicate how, by whom, and for what purpose the information is to be used.  Except for a new collection, indicate the actual use the agency has made of the information received from the current collection</w:t>
      </w:r>
      <w:r w:rsidRPr="00267974">
        <w:rPr>
          <w:sz w:val="24"/>
          <w:szCs w:val="24"/>
        </w:rPr>
        <w:t xml:space="preserve">. </w:t>
      </w:r>
    </w:p>
    <w:p w:rsidR="00267974" w14:paraId="6D5C7DA9" w14:textId="77777777">
      <w:pPr>
        <w:rPr>
          <w:sz w:val="24"/>
        </w:rPr>
      </w:pPr>
    </w:p>
    <w:p w:rsidR="00CD54F9" w14:paraId="104DB375" w14:textId="77777777">
      <w:pPr>
        <w:rPr>
          <w:sz w:val="24"/>
        </w:rPr>
      </w:pPr>
      <w:r>
        <w:rPr>
          <w:sz w:val="24"/>
        </w:rPr>
        <w:t>The information collected pursuant to this collection of information has been</w:t>
      </w:r>
      <w:r w:rsidR="00E76584">
        <w:rPr>
          <w:sz w:val="24"/>
        </w:rPr>
        <w:t>, and will continue to be,</w:t>
      </w:r>
      <w:r>
        <w:rPr>
          <w:sz w:val="24"/>
        </w:rPr>
        <w:t xml:space="preserve"> used </w:t>
      </w:r>
      <w:r w:rsidR="00E76584">
        <w:rPr>
          <w:sz w:val="24"/>
        </w:rPr>
        <w:t xml:space="preserve">by </w:t>
      </w:r>
      <w:r w:rsidR="00181BAE">
        <w:rPr>
          <w:sz w:val="24"/>
        </w:rPr>
        <w:t>the Bureau of the Fiscal Service (Fiscal Service)</w:t>
      </w:r>
      <w:r w:rsidR="00E76584">
        <w:rPr>
          <w:sz w:val="24"/>
        </w:rPr>
        <w:t xml:space="preserve"> </w:t>
      </w:r>
      <w:r>
        <w:rPr>
          <w:sz w:val="24"/>
        </w:rPr>
        <w:t xml:space="preserve">to increase the efficiency of </w:t>
      </w:r>
      <w:r w:rsidR="00181BAE">
        <w:rPr>
          <w:sz w:val="24"/>
        </w:rPr>
        <w:t>Fiscal Service</w:t>
      </w:r>
      <w:r>
        <w:rPr>
          <w:sz w:val="24"/>
        </w:rPr>
        <w:t>’s marketing campaign</w:t>
      </w:r>
      <w:r w:rsidR="00E76584">
        <w:rPr>
          <w:sz w:val="24"/>
        </w:rPr>
        <w:t xml:space="preserve"> (known as </w:t>
      </w:r>
      <w:r w:rsidRPr="00E76584" w:rsidR="00E76584">
        <w:rPr>
          <w:b/>
          <w:i/>
          <w:sz w:val="24"/>
        </w:rPr>
        <w:t>Go Direct</w:t>
      </w:r>
      <w:r w:rsidR="00E76584">
        <w:rPr>
          <w:sz w:val="24"/>
        </w:rPr>
        <w:t>)</w:t>
      </w:r>
      <w:r>
        <w:rPr>
          <w:sz w:val="24"/>
        </w:rPr>
        <w:t xml:space="preserve"> to persuade check recipients to switch to direct deposit.  The research has been used by </w:t>
      </w:r>
      <w:r>
        <w:rPr>
          <w:sz w:val="24"/>
        </w:rPr>
        <w:t>Fiscal Service</w:t>
      </w:r>
      <w:r>
        <w:rPr>
          <w:sz w:val="24"/>
        </w:rPr>
        <w:t xml:space="preserve"> to target key markets and hone in on the types of communications and messages that will move the most benefit recipients to direct deposit.  </w:t>
      </w:r>
      <w:r>
        <w:rPr>
          <w:sz w:val="24"/>
        </w:rPr>
        <w:t>Fiscal Service</w:t>
      </w:r>
      <w:r w:rsidR="00544D39">
        <w:rPr>
          <w:sz w:val="24"/>
        </w:rPr>
        <w:t>/</w:t>
      </w:r>
      <w:r>
        <w:rPr>
          <w:sz w:val="24"/>
        </w:rPr>
        <w:t>Treasury estimates that the government will continue to see more savings through converting Federal beneficiary check recipients to direct deposit.</w:t>
      </w:r>
    </w:p>
    <w:p w:rsidR="00544D39" w14:paraId="0FEA5B1C" w14:textId="77777777">
      <w:pPr>
        <w:rPr>
          <w:sz w:val="24"/>
        </w:rPr>
      </w:pPr>
    </w:p>
    <w:p w:rsidR="00E76584" w:rsidRPr="00E76584" w:rsidP="00E76584" w14:paraId="2CB5FF37" w14:textId="77777777">
      <w:pPr>
        <w:rPr>
          <w:b/>
          <w:sz w:val="24"/>
          <w:szCs w:val="24"/>
        </w:rPr>
      </w:pPr>
      <w:r>
        <w:rPr>
          <w:b/>
          <w:sz w:val="24"/>
          <w:szCs w:val="24"/>
        </w:rPr>
        <w:t xml:space="preserve">3.  </w:t>
      </w:r>
      <w:r w:rsidRPr="00E76584">
        <w:rPr>
          <w:b/>
          <w:sz w:val="24"/>
          <w:szCs w:val="24"/>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E76584" w14:paraId="5D0CA3BD" w14:textId="77777777">
      <w:pPr>
        <w:rPr>
          <w:sz w:val="24"/>
        </w:rPr>
      </w:pPr>
    </w:p>
    <w:p w:rsidR="004E1D01" w:rsidRPr="002165C5" w:rsidP="004E1D01" w14:paraId="48F283CB" w14:textId="77777777">
      <w:pPr>
        <w:rPr>
          <w:sz w:val="24"/>
        </w:rPr>
      </w:pPr>
      <w:r w:rsidRPr="002165C5">
        <w:rPr>
          <w:sz w:val="24"/>
        </w:rPr>
        <w:t>In appropriate situations</w:t>
      </w:r>
      <w:r w:rsidRPr="002165C5">
        <w:rPr>
          <w:sz w:val="24"/>
        </w:rPr>
        <w:t xml:space="preserve">, Fiscal Service will collect information electronically and/or use online </w:t>
      </w:r>
      <w:r w:rsidRPr="002165C5">
        <w:rPr>
          <w:sz w:val="24"/>
        </w:rPr>
        <w:t>collaboration tools to reduce burden.</w:t>
      </w:r>
    </w:p>
    <w:p w:rsidR="00E76584" w:rsidP="00E76584" w14:paraId="1AB6DF6F" w14:textId="77777777">
      <w:pPr>
        <w:rPr>
          <w:sz w:val="24"/>
        </w:rPr>
      </w:pPr>
    </w:p>
    <w:p w:rsidR="0011520D" w:rsidRPr="00E76584" w:rsidP="00E76584" w14:paraId="74A6733F" w14:textId="77777777">
      <w:pPr>
        <w:rPr>
          <w:sz w:val="24"/>
        </w:rPr>
      </w:pPr>
    </w:p>
    <w:p w:rsidR="00E76584" w:rsidRPr="00E76584" w:rsidP="00E76584" w14:paraId="30A0347E" w14:textId="77777777">
      <w:pPr>
        <w:rPr>
          <w:b/>
          <w:sz w:val="24"/>
        </w:rPr>
      </w:pPr>
      <w:r w:rsidRPr="00E76584">
        <w:rPr>
          <w:b/>
          <w:sz w:val="24"/>
        </w:rPr>
        <w:t xml:space="preserve">4.  Describe efforts to identify duplication.  Show specifically why any similar information already available cannot be used or modified for use for the purposes described in Item 2 above. </w:t>
      </w:r>
    </w:p>
    <w:p w:rsidR="00E76584" w14:paraId="0D0AA250" w14:textId="77777777">
      <w:pPr>
        <w:rPr>
          <w:sz w:val="24"/>
        </w:rPr>
      </w:pPr>
      <w:r w:rsidRPr="00E76584">
        <w:rPr>
          <w:sz w:val="24"/>
        </w:rPr>
        <w:t xml:space="preserve"> </w:t>
      </w:r>
    </w:p>
    <w:p w:rsidR="002165C5" w:rsidRPr="002165C5" w:rsidP="002165C5" w14:paraId="6C01970D" w14:textId="77777777">
      <w:pPr>
        <w:rPr>
          <w:sz w:val="24"/>
        </w:rPr>
      </w:pPr>
      <w:r w:rsidRPr="002165C5">
        <w:rPr>
          <w:sz w:val="24"/>
        </w:rPr>
        <w:t>No similar data ar</w:t>
      </w:r>
      <w:r>
        <w:rPr>
          <w:sz w:val="24"/>
        </w:rPr>
        <w:t>e gathered or maintained by Fiscal Service</w:t>
      </w:r>
      <w:r w:rsidRPr="002165C5">
        <w:rPr>
          <w:sz w:val="24"/>
        </w:rPr>
        <w:t xml:space="preserve"> or are available from other sources known to the </w:t>
      </w:r>
      <w:r>
        <w:rPr>
          <w:sz w:val="24"/>
        </w:rPr>
        <w:t>Bureau</w:t>
      </w:r>
      <w:r w:rsidRPr="002165C5">
        <w:rPr>
          <w:sz w:val="24"/>
        </w:rPr>
        <w:t>.</w:t>
      </w:r>
    </w:p>
    <w:p w:rsidR="008C0BEB" w14:paraId="140CAC36" w14:textId="77777777">
      <w:pPr>
        <w:rPr>
          <w:sz w:val="24"/>
        </w:rPr>
      </w:pPr>
    </w:p>
    <w:p w:rsidR="00AE2261" w:rsidRPr="00AE2261" w:rsidP="00AE2261" w14:paraId="4537490B" w14:textId="77777777">
      <w:pPr>
        <w:rPr>
          <w:b/>
          <w:sz w:val="24"/>
        </w:rPr>
      </w:pPr>
      <w:r w:rsidRPr="00AE2261">
        <w:rPr>
          <w:b/>
          <w:sz w:val="24"/>
        </w:rPr>
        <w:t>5.  If the collection of information impacts small businesses or other small entities (Item 5 of OMB Form 83-I), describe any methods used to minimize burden.</w:t>
      </w:r>
    </w:p>
    <w:p w:rsidR="00AE2261" w:rsidRPr="00AE2261" w:rsidP="00AE2261" w14:paraId="74F9F206" w14:textId="77777777">
      <w:pPr>
        <w:rPr>
          <w:sz w:val="24"/>
        </w:rPr>
      </w:pPr>
    </w:p>
    <w:p w:rsidR="00DB4DD4" w14:paraId="33C6D7E0" w14:textId="77777777">
      <w:pPr>
        <w:rPr>
          <w:sz w:val="24"/>
        </w:rPr>
      </w:pPr>
      <w:r>
        <w:rPr>
          <w:sz w:val="24"/>
        </w:rPr>
        <w:t>Fiscal Service</w:t>
      </w:r>
      <w:r w:rsidR="00AE2261">
        <w:rPr>
          <w:sz w:val="24"/>
        </w:rPr>
        <w:t xml:space="preserve"> studies to date, and anticipated studies in the future, </w:t>
      </w:r>
      <w:r>
        <w:rPr>
          <w:sz w:val="24"/>
        </w:rPr>
        <w:t>involve individuals only. No small businesses or small entities will be impacted.</w:t>
      </w:r>
    </w:p>
    <w:p w:rsidR="00DB4DD4" w14:paraId="6E54846A" w14:textId="77777777">
      <w:pPr>
        <w:rPr>
          <w:sz w:val="24"/>
        </w:rPr>
      </w:pPr>
    </w:p>
    <w:p w:rsidR="007C5A4E" w:rsidRPr="007C5A4E" w:rsidP="007C5A4E" w14:paraId="3B68C0C2" w14:textId="77777777">
      <w:pPr>
        <w:rPr>
          <w:b/>
          <w:sz w:val="24"/>
        </w:rPr>
      </w:pPr>
      <w:r w:rsidRPr="007C5A4E">
        <w:rPr>
          <w:b/>
          <w:sz w:val="24"/>
        </w:rPr>
        <w:t>6.  Describe the consequence to Federal program or policy activities if the collection is not conducted or is conducted less frequently, as well as any technical or legal obstacles to reducing burden.</w:t>
      </w:r>
    </w:p>
    <w:p w:rsidR="00854847" w14:paraId="3CB79BD5" w14:textId="77777777">
      <w:pPr>
        <w:rPr>
          <w:sz w:val="24"/>
        </w:rPr>
      </w:pPr>
    </w:p>
    <w:p w:rsidR="00854847" w:rsidRPr="00854847" w:rsidP="00854847" w14:paraId="6AE20D8C" w14:textId="77777777">
      <w:pPr>
        <w:rPr>
          <w:sz w:val="24"/>
        </w:rPr>
      </w:pPr>
      <w:r w:rsidRPr="00854847">
        <w:rPr>
          <w:sz w:val="24"/>
        </w:rPr>
        <w:t>Without feedback</w:t>
      </w:r>
      <w:r w:rsidR="00AC4776">
        <w:rPr>
          <w:sz w:val="24"/>
        </w:rPr>
        <w:t xml:space="preserve"> from the target audiences of federal benefit check recipients</w:t>
      </w:r>
      <w:r w:rsidRPr="00854847">
        <w:rPr>
          <w:sz w:val="24"/>
        </w:rPr>
        <w:t>,</w:t>
      </w:r>
      <w:r>
        <w:rPr>
          <w:sz w:val="24"/>
        </w:rPr>
        <w:t xml:space="preserve"> Fiscal Service</w:t>
      </w:r>
      <w:r w:rsidRPr="00854847">
        <w:rPr>
          <w:sz w:val="24"/>
        </w:rPr>
        <w:t xml:space="preserve"> will not have timely information to adjust its </w:t>
      </w:r>
      <w:r w:rsidR="00AC4776">
        <w:rPr>
          <w:sz w:val="24"/>
        </w:rPr>
        <w:t xml:space="preserve">services to meet customer needs. </w:t>
      </w:r>
    </w:p>
    <w:p w:rsidR="00DB4DD4" w14:paraId="7D2EA586" w14:textId="77777777">
      <w:pPr>
        <w:rPr>
          <w:sz w:val="24"/>
        </w:rPr>
      </w:pPr>
    </w:p>
    <w:p w:rsidR="00920DA1" w:rsidP="00920DA1" w14:paraId="0190F4A7" w14:textId="77777777">
      <w:pPr>
        <w:rPr>
          <w:b/>
          <w:sz w:val="24"/>
        </w:rPr>
      </w:pPr>
      <w:r w:rsidRPr="00920DA1">
        <w:rPr>
          <w:b/>
          <w:sz w:val="24"/>
        </w:rPr>
        <w:t>7.</w:t>
      </w:r>
      <w:r>
        <w:rPr>
          <w:sz w:val="24"/>
        </w:rPr>
        <w:t xml:space="preserve"> </w:t>
      </w:r>
      <w:r w:rsidRPr="00920DA1">
        <w:rPr>
          <w:b/>
          <w:sz w:val="24"/>
        </w:rPr>
        <w:t>Explain any special circumstances that would cause an information collection to be conducted in a manner:  *requiring respondents to report information to the agency more often than quarterly; *requiring respondents to prepare a written response to a collection of information in fewer than 30 days after receipt of it; requiring respondents to submit more than an original and two copies of any document; etc.</w:t>
      </w:r>
    </w:p>
    <w:p w:rsidR="0011520D" w:rsidRPr="00920DA1" w:rsidP="00920DA1" w14:paraId="31065E98" w14:textId="77777777">
      <w:pPr>
        <w:rPr>
          <w:b/>
          <w:sz w:val="24"/>
        </w:rPr>
      </w:pPr>
    </w:p>
    <w:p w:rsidR="00DB4DD4" w14:paraId="5C67C256" w14:textId="77777777">
      <w:pPr>
        <w:rPr>
          <w:sz w:val="24"/>
        </w:rPr>
      </w:pPr>
      <w:r>
        <w:rPr>
          <w:sz w:val="24"/>
        </w:rPr>
        <w:t xml:space="preserve">There are no such special circumstances.  </w:t>
      </w:r>
    </w:p>
    <w:p w:rsidR="0011520D" w14:paraId="13974FC6" w14:textId="77777777">
      <w:pPr>
        <w:rPr>
          <w:sz w:val="24"/>
        </w:rPr>
      </w:pPr>
    </w:p>
    <w:p w:rsidR="0072157F" w:rsidRPr="0072157F" w:rsidP="0072157F" w14:paraId="2EDC17BA" w14:textId="77777777">
      <w:pPr>
        <w:rPr>
          <w:b/>
          <w:sz w:val="24"/>
        </w:rPr>
      </w:pPr>
      <w:r w:rsidRPr="0072157F">
        <w:rPr>
          <w:b/>
          <w:sz w:val="24"/>
        </w:rPr>
        <w:t>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620DCE" w14:paraId="4C870845" w14:textId="77777777">
      <w:pPr>
        <w:rPr>
          <w:sz w:val="24"/>
        </w:rPr>
      </w:pPr>
    </w:p>
    <w:p w:rsidR="006978B6" w:rsidP="00450D34" w14:paraId="735526C4" w14:textId="3CB8016F">
      <w:pPr>
        <w:spacing w:after="120"/>
        <w:rPr>
          <w:sz w:val="24"/>
        </w:rPr>
      </w:pPr>
      <w:r w:rsidRPr="009418CB">
        <w:rPr>
          <w:sz w:val="24"/>
          <w:szCs w:val="24"/>
        </w:rPr>
        <w:t>The Bureau’s notice was published in the Federal Register on November 2</w:t>
      </w:r>
      <w:r w:rsidR="0099337D">
        <w:rPr>
          <w:sz w:val="24"/>
          <w:szCs w:val="24"/>
        </w:rPr>
        <w:t>8</w:t>
      </w:r>
      <w:r w:rsidRPr="009418CB">
        <w:rPr>
          <w:sz w:val="24"/>
          <w:szCs w:val="24"/>
        </w:rPr>
        <w:t>, 202</w:t>
      </w:r>
      <w:r w:rsidR="0099337D">
        <w:rPr>
          <w:sz w:val="24"/>
          <w:szCs w:val="24"/>
        </w:rPr>
        <w:t>5</w:t>
      </w:r>
      <w:r w:rsidRPr="009418CB">
        <w:rPr>
          <w:sz w:val="24"/>
          <w:szCs w:val="24"/>
        </w:rPr>
        <w:t xml:space="preserve">, Volume </w:t>
      </w:r>
      <w:r w:rsidR="0099337D">
        <w:rPr>
          <w:sz w:val="24"/>
          <w:szCs w:val="24"/>
        </w:rPr>
        <w:t>90</w:t>
      </w:r>
      <w:r w:rsidRPr="009418CB">
        <w:rPr>
          <w:sz w:val="24"/>
          <w:szCs w:val="24"/>
        </w:rPr>
        <w:t xml:space="preserve">, page </w:t>
      </w:r>
      <w:r w:rsidR="0099337D">
        <w:rPr>
          <w:sz w:val="24"/>
          <w:szCs w:val="24"/>
        </w:rPr>
        <w:t>54889</w:t>
      </w:r>
      <w:r w:rsidRPr="009418CB">
        <w:rPr>
          <w:sz w:val="24"/>
          <w:szCs w:val="24"/>
        </w:rPr>
        <w:t>.  No comments were received.</w:t>
      </w:r>
      <w:r>
        <w:rPr>
          <w:sz w:val="24"/>
          <w:szCs w:val="24"/>
        </w:rPr>
        <w:t xml:space="preserve">  </w:t>
      </w:r>
    </w:p>
    <w:p w:rsidR="003F4446" w14:paraId="24BD1608" w14:textId="77777777">
      <w:pPr>
        <w:rPr>
          <w:sz w:val="24"/>
        </w:rPr>
      </w:pPr>
      <w:r w:rsidRPr="003F4446">
        <w:rPr>
          <w:b/>
          <w:sz w:val="24"/>
        </w:rPr>
        <w:t>9.</w:t>
      </w:r>
      <w:r>
        <w:rPr>
          <w:sz w:val="24"/>
        </w:rPr>
        <w:t xml:space="preserve"> </w:t>
      </w:r>
      <w:r w:rsidRPr="003F4446">
        <w:rPr>
          <w:b/>
          <w:sz w:val="24"/>
        </w:rPr>
        <w:t>Explain any decision to provide any payment or gift to respondents, other than reenumeration of contractors or grantees.</w:t>
      </w:r>
    </w:p>
    <w:p w:rsidR="003F4446" w14:paraId="0502E8E2" w14:textId="77777777">
      <w:pPr>
        <w:rPr>
          <w:sz w:val="24"/>
        </w:rPr>
      </w:pPr>
    </w:p>
    <w:p w:rsidR="0011520D" w:rsidRPr="00F32E6D" w14:paraId="5BACCD83" w14:textId="77777777">
      <w:pPr>
        <w:rPr>
          <w:sz w:val="24"/>
          <w:szCs w:val="24"/>
        </w:rPr>
      </w:pPr>
      <w:r w:rsidRPr="00F32E6D">
        <w:rPr>
          <w:sz w:val="24"/>
          <w:szCs w:val="24"/>
        </w:rPr>
        <w:t xml:space="preserve">Survey respondents may be offered incentive that would be limited to $40 for cognitive research and $75 for focus group participants.  Generally for quantitative surveys, respondents are not offered an incentive.  Any incentive will be identified and justified in each generic IC submitted under this information collection. </w:t>
      </w:r>
      <w:r w:rsidRPr="00F32E6D">
        <w:rPr>
          <w:sz w:val="24"/>
          <w:szCs w:val="24"/>
        </w:rPr>
        <w:br/>
      </w:r>
    </w:p>
    <w:p w:rsidR="00544D39" w:rsidRPr="00544D39" w:rsidP="00544D39" w14:paraId="0F550943" w14:textId="77777777">
      <w:pPr>
        <w:rPr>
          <w:b/>
          <w:sz w:val="24"/>
        </w:rPr>
      </w:pPr>
      <w:r w:rsidRPr="00544D39">
        <w:rPr>
          <w:b/>
          <w:sz w:val="24"/>
        </w:rPr>
        <w:t>10</w:t>
      </w:r>
      <w:r w:rsidRPr="00544D39">
        <w:rPr>
          <w:b/>
          <w:sz w:val="24"/>
        </w:rPr>
        <w:t xml:space="preserve">.  Describe any assurance of confidentiality provided to respondents and the basis for the assurance in statute, regulation, or agency policy. </w:t>
      </w:r>
    </w:p>
    <w:p w:rsidR="00335878" w:rsidRPr="00B25A0B" w14:paraId="4C510DAE" w14:textId="77777777">
      <w:pPr>
        <w:rPr>
          <w:color w:val="auto"/>
          <w:sz w:val="24"/>
        </w:rPr>
      </w:pPr>
    </w:p>
    <w:p w:rsidR="005F58C4" w:rsidRPr="00B25A0B" w:rsidP="00335878" w14:paraId="5C86AAD8" w14:textId="77777777">
      <w:pPr>
        <w:rPr>
          <w:rFonts w:eastAsia="Calibri"/>
          <w:color w:val="auto"/>
          <w:sz w:val="24"/>
          <w:szCs w:val="24"/>
        </w:rPr>
      </w:pPr>
      <w:r w:rsidRPr="00B25A0B">
        <w:rPr>
          <w:color w:val="auto"/>
          <w:sz w:val="24"/>
          <w:szCs w:val="24"/>
        </w:rPr>
        <w:t>There is no guarantee of confidentiality.  The results of the research</w:t>
      </w:r>
      <w:r w:rsidRPr="00B25A0B" w:rsidR="00B25A0B">
        <w:rPr>
          <w:color w:val="auto"/>
          <w:sz w:val="24"/>
          <w:szCs w:val="24"/>
        </w:rPr>
        <w:t xml:space="preserve"> </w:t>
      </w:r>
      <w:r w:rsidRPr="00B25A0B" w:rsidR="00B25A0B">
        <w:rPr>
          <w:color w:val="auto"/>
          <w:sz w:val="24"/>
        </w:rPr>
        <w:t>is for statistical purposes only;</w:t>
      </w:r>
      <w:r w:rsidRPr="00B25A0B">
        <w:rPr>
          <w:color w:val="auto"/>
          <w:sz w:val="24"/>
          <w:szCs w:val="24"/>
        </w:rPr>
        <w:t xml:space="preserve"> </w:t>
      </w:r>
      <w:r w:rsidRPr="00B25A0B" w:rsidR="00B25A0B">
        <w:rPr>
          <w:color w:val="auto"/>
          <w:sz w:val="24"/>
          <w:szCs w:val="24"/>
        </w:rPr>
        <w:t xml:space="preserve">responses </w:t>
      </w:r>
      <w:r w:rsidRPr="00B25A0B">
        <w:rPr>
          <w:color w:val="auto"/>
          <w:sz w:val="24"/>
          <w:szCs w:val="24"/>
        </w:rPr>
        <w:t>will be grouped for aggregate reporting purposes</w:t>
      </w:r>
      <w:r w:rsidRPr="00B25A0B">
        <w:rPr>
          <w:color w:val="auto"/>
          <w:sz w:val="24"/>
          <w:szCs w:val="24"/>
        </w:rPr>
        <w:t xml:space="preserve"> only to be </w:t>
      </w:r>
      <w:r w:rsidRPr="00B25A0B">
        <w:rPr>
          <w:color w:val="auto"/>
          <w:sz w:val="24"/>
          <w:szCs w:val="24"/>
        </w:rPr>
        <w:t xml:space="preserve">shared with </w:t>
      </w:r>
      <w:r w:rsidRPr="00B25A0B" w:rsidR="00B25A0B">
        <w:rPr>
          <w:color w:val="auto"/>
          <w:sz w:val="24"/>
          <w:szCs w:val="24"/>
        </w:rPr>
        <w:t xml:space="preserve">employees of </w:t>
      </w:r>
      <w:r w:rsidRPr="00B25A0B">
        <w:rPr>
          <w:color w:val="auto"/>
          <w:sz w:val="24"/>
          <w:szCs w:val="24"/>
        </w:rPr>
        <w:t>Fiscal Service/</w:t>
      </w:r>
      <w:r w:rsidRPr="00B25A0B">
        <w:rPr>
          <w:color w:val="auto"/>
          <w:sz w:val="24"/>
          <w:szCs w:val="24"/>
        </w:rPr>
        <w:t>Treas</w:t>
      </w:r>
      <w:r w:rsidRPr="00B25A0B" w:rsidR="00B25A0B">
        <w:rPr>
          <w:color w:val="auto"/>
          <w:sz w:val="24"/>
          <w:szCs w:val="24"/>
        </w:rPr>
        <w:t>u</w:t>
      </w:r>
      <w:r w:rsidRPr="00B25A0B">
        <w:rPr>
          <w:color w:val="auto"/>
          <w:sz w:val="24"/>
          <w:szCs w:val="24"/>
        </w:rPr>
        <w:t xml:space="preserve">ry, </w:t>
      </w:r>
      <w:r w:rsidRPr="00B25A0B">
        <w:rPr>
          <w:color w:val="auto"/>
          <w:sz w:val="24"/>
          <w:szCs w:val="24"/>
        </w:rPr>
        <w:t xml:space="preserve">or third-party vendors conductng the study. </w:t>
      </w:r>
      <w:r w:rsidRPr="00B25A0B">
        <w:rPr>
          <w:color w:val="auto"/>
          <w:sz w:val="24"/>
          <w:szCs w:val="24"/>
        </w:rPr>
        <w:t xml:space="preserve"> However, all individual responses will remain completely confidential and will not be shared with anyone as required by law.  </w:t>
      </w:r>
      <w:r w:rsidRPr="00B25A0B">
        <w:rPr>
          <w:rFonts w:eastAsia="Calibri"/>
          <w:color w:val="auto"/>
          <w:sz w:val="24"/>
          <w:szCs w:val="24"/>
        </w:rPr>
        <w:t>Interviews conducted through focus groups and interviews will be provided as transcripts without any identifying information about an individual respondent.</w:t>
      </w:r>
    </w:p>
    <w:p w:rsidR="00DB4DD4" w14:paraId="35550A1E" w14:textId="77777777">
      <w:pPr>
        <w:rPr>
          <w:sz w:val="24"/>
        </w:rPr>
      </w:pPr>
    </w:p>
    <w:p w:rsidR="00F32E6D" w:rsidP="004A31FD" w14:paraId="1A71FF16" w14:textId="77777777">
      <w:pPr>
        <w:rPr>
          <w:b/>
          <w:sz w:val="24"/>
        </w:rPr>
      </w:pPr>
      <w:r w:rsidRPr="004A31FD">
        <w:rPr>
          <w:b/>
          <w:sz w:val="24"/>
        </w:rPr>
        <w:t>11</w:t>
      </w:r>
      <w:r w:rsidRPr="004A31FD" w:rsidR="004A31FD">
        <w:rPr>
          <w:b/>
          <w:sz w:val="24"/>
        </w:rPr>
        <w:t>.</w:t>
      </w:r>
      <w:r w:rsidR="004A31FD">
        <w:rPr>
          <w:sz w:val="24"/>
        </w:rPr>
        <w:t xml:space="preserve">  </w:t>
      </w:r>
      <w:r w:rsidRPr="004A31FD" w:rsidR="004A31FD">
        <w:rPr>
          <w:b/>
          <w:sz w:val="24"/>
        </w:rPr>
        <w:t xml:space="preserve">Provide additional justification for any questions of a sensitive nature, such as sexual behavior and attitudes, religious beliefs, and other matters that are commonly considered </w:t>
      </w:r>
    </w:p>
    <w:p w:rsidR="004A31FD" w:rsidP="004A31FD" w14:paraId="2253AED5" w14:textId="77777777">
      <w:pPr>
        <w:rPr>
          <w:b/>
          <w:sz w:val="24"/>
        </w:rPr>
      </w:pPr>
      <w:r w:rsidRPr="004A31FD">
        <w:rPr>
          <w:b/>
          <w:sz w:val="24"/>
        </w:rPr>
        <w:t xml:space="preserve">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4A31FD" w:rsidRPr="004A31FD" w:rsidP="004A31FD" w14:paraId="7F66F1EC" w14:textId="77777777">
      <w:pPr>
        <w:rPr>
          <w:sz w:val="24"/>
        </w:rPr>
      </w:pPr>
    </w:p>
    <w:p w:rsidR="001E3B4B" w:rsidRPr="009B78E3" w:rsidP="001E3B4B" w14:paraId="2B5BF50E" w14:textId="77777777">
      <w:pPr>
        <w:tabs>
          <w:tab w:val="left" w:pos="450"/>
        </w:tabs>
        <w:suppressAutoHyphens/>
        <w:autoSpaceDE w:val="0"/>
        <w:autoSpaceDN w:val="0"/>
        <w:adjustRightInd w:val="0"/>
        <w:spacing w:line="240" w:lineRule="atLeast"/>
        <w:rPr>
          <w:sz w:val="24"/>
          <w:szCs w:val="24"/>
        </w:rPr>
      </w:pPr>
      <w:r w:rsidRPr="009B78E3">
        <w:rPr>
          <w:sz w:val="24"/>
        </w:rPr>
        <w:t xml:space="preserve">Questions in individual surveys submitted under this collection are </w:t>
      </w:r>
      <w:r>
        <w:rPr>
          <w:bCs/>
          <w:sz w:val="24"/>
        </w:rPr>
        <w:t>based on</w:t>
      </w:r>
      <w:r w:rsidRPr="009B78E3">
        <w:rPr>
          <w:bCs/>
          <w:sz w:val="24"/>
        </w:rPr>
        <w:t xml:space="preserve"> the customer experience to determine satisfaction levels and explore ways to enhance future services; therefore, t</w:t>
      </w:r>
      <w:r w:rsidRPr="009B78E3">
        <w:rPr>
          <w:sz w:val="24"/>
          <w:szCs w:val="24"/>
        </w:rPr>
        <w:t>here are no questions of a sensitive nature.</w:t>
      </w:r>
    </w:p>
    <w:p w:rsidR="00DB4DD4" w14:paraId="01D4D98E" w14:textId="77777777">
      <w:pPr>
        <w:rPr>
          <w:sz w:val="24"/>
        </w:rPr>
      </w:pPr>
    </w:p>
    <w:p w:rsidR="009D0D05" w:rsidRPr="009D0D05" w:rsidP="009D0D05" w14:paraId="5DAACA4A" w14:textId="77777777">
      <w:pPr>
        <w:rPr>
          <w:b/>
          <w:sz w:val="24"/>
        </w:rPr>
      </w:pPr>
      <w:r w:rsidRPr="009D0D05">
        <w:rPr>
          <w:b/>
          <w:sz w:val="24"/>
        </w:rPr>
        <w:t xml:space="preserve">12. </w:t>
      </w:r>
      <w:r w:rsidRPr="009D0D05">
        <w:rPr>
          <w:b/>
          <w:sz w:val="24"/>
        </w:rPr>
        <w:t xml:space="preserve"> Provide estimates of the hour burden of the collection of information.  The statement should:  *indicate the number of respondents, frequency of response, annual hour burden; and an explanation of how the burden was estimated.</w:t>
      </w:r>
    </w:p>
    <w:p w:rsidR="009D0D05" w:rsidRPr="009D0D05" w:rsidP="009D0D05" w14:paraId="7C1F7171" w14:textId="77777777">
      <w:pPr>
        <w:rPr>
          <w:sz w:val="24"/>
        </w:rPr>
      </w:pPr>
      <w:r w:rsidRPr="009D0D05">
        <w:rPr>
          <w:sz w:val="24"/>
        </w:rPr>
        <w:t xml:space="preserve"> </w:t>
      </w:r>
    </w:p>
    <w:p w:rsidR="00582048" w:rsidP="00582048" w14:paraId="5D4FF6DB" w14:textId="77777777">
      <w:pPr>
        <w:tabs>
          <w:tab w:val="left" w:pos="-1080"/>
          <w:tab w:val="left" w:pos="-720"/>
          <w:tab w:val="left" w:pos="0"/>
          <w:tab w:val="left" w:pos="450"/>
          <w:tab w:val="left" w:pos="720"/>
          <w:tab w:val="left" w:pos="2160"/>
        </w:tabs>
      </w:pPr>
      <w:r w:rsidRPr="00582048">
        <w:rPr>
          <w:sz w:val="24"/>
        </w:rPr>
        <w:t>A variety of instruments and platforms will be used to collect information from respondents.  The annual burden hours requested (</w:t>
      </w:r>
      <w:r w:rsidR="008421FC">
        <w:rPr>
          <w:sz w:val="24"/>
        </w:rPr>
        <w:t>5,200</w:t>
      </w:r>
      <w:r w:rsidRPr="00582048">
        <w:rPr>
          <w:sz w:val="24"/>
        </w:rPr>
        <w:t xml:space="preserve">) are based on the number of collections we expect to conduct over the requested period for this clearance. </w:t>
      </w:r>
      <w:r>
        <w:t xml:space="preserve"> </w:t>
      </w:r>
    </w:p>
    <w:p w:rsidR="00582048" w:rsidP="00582048" w14:paraId="5FBE24AB" w14:textId="77777777"/>
    <w:tbl>
      <w:tblPr>
        <w:tblW w:w="0" w:type="auto"/>
        <w:tblLayout w:type="fixed"/>
        <w:tblCellMar>
          <w:left w:w="102" w:type="dxa"/>
          <w:right w:w="102" w:type="dxa"/>
        </w:tblCellMar>
        <w:tblLook w:val="0000"/>
      </w:tblPr>
      <w:tblGrid>
        <w:gridCol w:w="2880"/>
        <w:gridCol w:w="1710"/>
        <w:gridCol w:w="1710"/>
        <w:gridCol w:w="1800"/>
        <w:gridCol w:w="1260"/>
      </w:tblGrid>
      <w:tr w14:paraId="63CF2466" w14:textId="77777777" w:rsidTr="004A0150">
        <w:tblPrEx>
          <w:tblW w:w="0" w:type="auto"/>
          <w:tblLayout w:type="fixed"/>
          <w:tblCellMar>
            <w:left w:w="102" w:type="dxa"/>
            <w:right w:w="102" w:type="dxa"/>
          </w:tblCellMar>
          <w:tblLook w:val="0000"/>
        </w:tblPrEx>
        <w:trPr>
          <w:tblHeader/>
        </w:trPr>
        <w:tc>
          <w:tcPr>
            <w:tcW w:w="9360" w:type="dxa"/>
            <w:gridSpan w:val="5"/>
            <w:tcBorders>
              <w:top w:val="single" w:sz="7" w:space="0" w:color="000000"/>
              <w:left w:val="single" w:sz="7" w:space="0" w:color="000000"/>
              <w:bottom w:val="single" w:sz="6" w:space="0" w:color="FFFFFF"/>
              <w:right w:val="single" w:sz="7" w:space="0" w:color="000000"/>
            </w:tcBorders>
          </w:tcPr>
          <w:p w:rsidR="00582048" w:rsidP="004A0150" w14:paraId="1C91B0A8" w14:textId="77777777"/>
          <w:p w:rsidR="00582048" w:rsidP="004A0150" w14:paraId="1C32CC2A" w14:textId="77777777">
            <w:pPr>
              <w:tabs>
                <w:tab w:val="left" w:pos="-1080"/>
                <w:tab w:val="left" w:pos="-720"/>
                <w:tab w:val="left" w:pos="0"/>
                <w:tab w:val="left" w:pos="450"/>
                <w:tab w:val="left" w:pos="720"/>
                <w:tab w:val="left" w:pos="2160"/>
              </w:tabs>
              <w:jc w:val="center"/>
            </w:pPr>
            <w:r>
              <w:t xml:space="preserve">           Estimated Annual Reporting Burden</w:t>
            </w:r>
          </w:p>
        </w:tc>
      </w:tr>
      <w:tr w14:paraId="24181E74" w14:textId="77777777" w:rsidTr="004A0150">
        <w:tblPrEx>
          <w:tblW w:w="0" w:type="auto"/>
          <w:tblLayout w:type="fixed"/>
          <w:tblCellMar>
            <w:left w:w="102" w:type="dxa"/>
            <w:right w:w="102" w:type="dxa"/>
          </w:tblCellMar>
          <w:tblLook w:val="0000"/>
        </w:tblPrEx>
        <w:tc>
          <w:tcPr>
            <w:tcW w:w="2880" w:type="dxa"/>
            <w:tcBorders>
              <w:top w:val="single" w:sz="7" w:space="0" w:color="000000"/>
              <w:left w:val="single" w:sz="7" w:space="0" w:color="000000"/>
              <w:bottom w:val="single" w:sz="6" w:space="0" w:color="FFFFFF"/>
              <w:right w:val="single" w:sz="6" w:space="0" w:color="FFFFFF"/>
            </w:tcBorders>
          </w:tcPr>
          <w:p w:rsidR="00582048" w:rsidP="004A0150" w14:paraId="1CB43F4A" w14:textId="77777777"/>
          <w:p w:rsidR="00582048" w:rsidP="004A0150" w14:paraId="49ECB261" w14:textId="77777777">
            <w:pPr>
              <w:tabs>
                <w:tab w:val="left" w:pos="-1080"/>
                <w:tab w:val="left" w:pos="-720"/>
                <w:tab w:val="left" w:pos="0"/>
                <w:tab w:val="left" w:pos="450"/>
                <w:tab w:val="left" w:pos="720"/>
                <w:tab w:val="left" w:pos="2160"/>
              </w:tabs>
              <w:jc w:val="center"/>
            </w:pPr>
            <w:r>
              <w:t>Type of Collection</w:t>
            </w:r>
          </w:p>
        </w:tc>
        <w:tc>
          <w:tcPr>
            <w:tcW w:w="1710" w:type="dxa"/>
            <w:tcBorders>
              <w:top w:val="single" w:sz="7" w:space="0" w:color="000000"/>
              <w:left w:val="single" w:sz="7" w:space="0" w:color="000000"/>
              <w:bottom w:val="single" w:sz="6" w:space="0" w:color="FFFFFF"/>
              <w:right w:val="single" w:sz="6" w:space="0" w:color="FFFFFF"/>
            </w:tcBorders>
          </w:tcPr>
          <w:p w:rsidR="00582048" w:rsidP="004A0150" w14:paraId="18840B6E" w14:textId="77777777"/>
          <w:p w:rsidR="00582048" w:rsidP="004A0150" w14:paraId="1CB74CC9" w14:textId="77777777">
            <w:pPr>
              <w:tabs>
                <w:tab w:val="left" w:pos="-1080"/>
                <w:tab w:val="left" w:pos="-720"/>
                <w:tab w:val="left" w:pos="0"/>
                <w:tab w:val="left" w:pos="450"/>
                <w:tab w:val="left" w:pos="720"/>
                <w:tab w:val="left" w:pos="2160"/>
              </w:tabs>
              <w:jc w:val="center"/>
            </w:pPr>
            <w:r>
              <w:t>No. of Respondents</w:t>
            </w:r>
          </w:p>
        </w:tc>
        <w:tc>
          <w:tcPr>
            <w:tcW w:w="1710" w:type="dxa"/>
            <w:tcBorders>
              <w:top w:val="single" w:sz="7" w:space="0" w:color="000000"/>
              <w:left w:val="single" w:sz="7" w:space="0" w:color="000000"/>
              <w:bottom w:val="single" w:sz="6" w:space="0" w:color="FFFFFF"/>
              <w:right w:val="single" w:sz="6" w:space="0" w:color="FFFFFF"/>
            </w:tcBorders>
          </w:tcPr>
          <w:p w:rsidR="00582048" w:rsidP="004A0150" w14:paraId="3F097BFC" w14:textId="77777777"/>
          <w:p w:rsidR="00582048" w:rsidP="004A0150" w14:paraId="69E63887" w14:textId="77777777">
            <w:pPr>
              <w:tabs>
                <w:tab w:val="left" w:pos="-1080"/>
                <w:tab w:val="left" w:pos="-720"/>
                <w:tab w:val="left" w:pos="0"/>
                <w:tab w:val="left" w:pos="450"/>
                <w:tab w:val="left" w:pos="720"/>
                <w:tab w:val="left" w:pos="2160"/>
              </w:tabs>
              <w:jc w:val="center"/>
            </w:pPr>
            <w:r>
              <w:t>Annual Frequency per Response</w:t>
            </w:r>
          </w:p>
        </w:tc>
        <w:tc>
          <w:tcPr>
            <w:tcW w:w="1800" w:type="dxa"/>
            <w:tcBorders>
              <w:top w:val="single" w:sz="7" w:space="0" w:color="000000"/>
              <w:left w:val="single" w:sz="7" w:space="0" w:color="000000"/>
              <w:bottom w:val="single" w:sz="6" w:space="0" w:color="FFFFFF"/>
              <w:right w:val="single" w:sz="6" w:space="0" w:color="FFFFFF"/>
            </w:tcBorders>
          </w:tcPr>
          <w:p w:rsidR="00582048" w:rsidP="004A0150" w14:paraId="401385E9" w14:textId="77777777"/>
          <w:p w:rsidR="00582048" w:rsidP="004A0150" w14:paraId="48050094" w14:textId="77777777">
            <w:pPr>
              <w:tabs>
                <w:tab w:val="left" w:pos="-1080"/>
                <w:tab w:val="left" w:pos="-720"/>
                <w:tab w:val="left" w:pos="0"/>
                <w:tab w:val="left" w:pos="450"/>
                <w:tab w:val="left" w:pos="720"/>
                <w:tab w:val="left" w:pos="2160"/>
              </w:tabs>
              <w:jc w:val="center"/>
            </w:pPr>
            <w:r>
              <w:t>Average Time per Response</w:t>
            </w:r>
          </w:p>
        </w:tc>
        <w:tc>
          <w:tcPr>
            <w:tcW w:w="1260" w:type="dxa"/>
            <w:tcBorders>
              <w:top w:val="single" w:sz="7" w:space="0" w:color="000000"/>
              <w:left w:val="single" w:sz="7" w:space="0" w:color="000000"/>
              <w:bottom w:val="single" w:sz="6" w:space="0" w:color="FFFFFF"/>
              <w:right w:val="single" w:sz="7" w:space="0" w:color="000000"/>
            </w:tcBorders>
          </w:tcPr>
          <w:p w:rsidR="00582048" w:rsidP="004A0150" w14:paraId="02F40BCE" w14:textId="77777777"/>
          <w:p w:rsidR="00582048" w:rsidP="004A0150" w14:paraId="67758FBC" w14:textId="77777777">
            <w:pPr>
              <w:tabs>
                <w:tab w:val="left" w:pos="-1080"/>
                <w:tab w:val="left" w:pos="-720"/>
                <w:tab w:val="left" w:pos="0"/>
                <w:tab w:val="left" w:pos="450"/>
                <w:tab w:val="left" w:pos="720"/>
                <w:tab w:val="left" w:pos="2160"/>
              </w:tabs>
              <w:jc w:val="center"/>
            </w:pPr>
            <w:r>
              <w:t>Total Hours</w:t>
            </w:r>
          </w:p>
        </w:tc>
      </w:tr>
      <w:tr w14:paraId="03F68D9C" w14:textId="77777777" w:rsidTr="004A0150">
        <w:tblPrEx>
          <w:tblW w:w="0" w:type="auto"/>
          <w:tblLayout w:type="fixed"/>
          <w:tblCellMar>
            <w:left w:w="102" w:type="dxa"/>
            <w:right w:w="102" w:type="dxa"/>
          </w:tblCellMar>
          <w:tblLook w:val="0000"/>
        </w:tblPrEx>
        <w:tc>
          <w:tcPr>
            <w:tcW w:w="2880" w:type="dxa"/>
            <w:tcBorders>
              <w:top w:val="single" w:sz="7" w:space="0" w:color="000000"/>
              <w:left w:val="single" w:sz="7" w:space="0" w:color="000000"/>
              <w:bottom w:val="single" w:sz="7" w:space="0" w:color="000000"/>
              <w:right w:val="single" w:sz="6" w:space="0" w:color="FFFFFF"/>
            </w:tcBorders>
            <w:vAlign w:val="center"/>
          </w:tcPr>
          <w:p w:rsidR="00582048" w:rsidP="004A0150" w14:paraId="4C551BFC" w14:textId="77777777">
            <w:pPr>
              <w:jc w:val="center"/>
            </w:pPr>
          </w:p>
          <w:p w:rsidR="00582048" w:rsidP="004A0150" w14:paraId="781F7633" w14:textId="77777777">
            <w:pPr>
              <w:tabs>
                <w:tab w:val="left" w:pos="-1080"/>
                <w:tab w:val="left" w:pos="-720"/>
                <w:tab w:val="left" w:pos="0"/>
                <w:tab w:val="left" w:pos="450"/>
                <w:tab w:val="left" w:pos="720"/>
                <w:tab w:val="left" w:pos="2160"/>
              </w:tabs>
              <w:jc w:val="center"/>
            </w:pPr>
            <w:r>
              <w:t>Customer Feedback Surveys</w:t>
            </w:r>
          </w:p>
        </w:tc>
        <w:tc>
          <w:tcPr>
            <w:tcW w:w="1710" w:type="dxa"/>
            <w:tcBorders>
              <w:top w:val="single" w:sz="7" w:space="0" w:color="000000"/>
              <w:left w:val="single" w:sz="7" w:space="0" w:color="000000"/>
              <w:bottom w:val="single" w:sz="7" w:space="0" w:color="000000"/>
              <w:right w:val="single" w:sz="6" w:space="0" w:color="FFFFFF"/>
            </w:tcBorders>
            <w:vAlign w:val="center"/>
          </w:tcPr>
          <w:p w:rsidR="00582048" w:rsidP="004A0150" w14:paraId="6A0672B1" w14:textId="77777777">
            <w:pPr>
              <w:tabs>
                <w:tab w:val="left" w:pos="-1080"/>
                <w:tab w:val="left" w:pos="-720"/>
                <w:tab w:val="left" w:pos="0"/>
                <w:tab w:val="left" w:pos="450"/>
                <w:tab w:val="left" w:pos="720"/>
                <w:tab w:val="left" w:pos="2160"/>
              </w:tabs>
              <w:jc w:val="center"/>
            </w:pPr>
            <w:r>
              <w:t>19,500</w:t>
            </w:r>
          </w:p>
        </w:tc>
        <w:tc>
          <w:tcPr>
            <w:tcW w:w="1710" w:type="dxa"/>
            <w:tcBorders>
              <w:top w:val="single" w:sz="7" w:space="0" w:color="000000"/>
              <w:left w:val="single" w:sz="7" w:space="0" w:color="000000"/>
              <w:bottom w:val="single" w:sz="7" w:space="0" w:color="000000"/>
              <w:right w:val="single" w:sz="6" w:space="0" w:color="FFFFFF"/>
            </w:tcBorders>
            <w:vAlign w:val="center"/>
          </w:tcPr>
          <w:p w:rsidR="00582048" w:rsidP="004A0150" w14:paraId="146AED5C" w14:textId="77777777">
            <w:pPr>
              <w:tabs>
                <w:tab w:val="left" w:pos="-1080"/>
                <w:tab w:val="left" w:pos="-720"/>
                <w:tab w:val="left" w:pos="0"/>
                <w:tab w:val="left" w:pos="450"/>
                <w:tab w:val="left" w:pos="720"/>
                <w:tab w:val="left" w:pos="2160"/>
              </w:tabs>
              <w:jc w:val="center"/>
            </w:pPr>
            <w:r>
              <w:t>1</w:t>
            </w:r>
          </w:p>
        </w:tc>
        <w:tc>
          <w:tcPr>
            <w:tcW w:w="1800" w:type="dxa"/>
            <w:tcBorders>
              <w:top w:val="single" w:sz="7" w:space="0" w:color="000000"/>
              <w:left w:val="single" w:sz="7" w:space="0" w:color="000000"/>
              <w:bottom w:val="single" w:sz="7" w:space="0" w:color="000000"/>
              <w:right w:val="single" w:sz="6" w:space="0" w:color="FFFFFF"/>
            </w:tcBorders>
            <w:vAlign w:val="center"/>
          </w:tcPr>
          <w:p w:rsidR="00582048" w:rsidP="004A0150" w14:paraId="65209BF7" w14:textId="77777777">
            <w:pPr>
              <w:tabs>
                <w:tab w:val="left" w:pos="-1080"/>
                <w:tab w:val="left" w:pos="-720"/>
                <w:tab w:val="left" w:pos="0"/>
                <w:tab w:val="left" w:pos="450"/>
                <w:tab w:val="left" w:pos="720"/>
                <w:tab w:val="left" w:pos="2160"/>
              </w:tabs>
              <w:jc w:val="center"/>
            </w:pPr>
            <w:r>
              <w:t>16</w:t>
            </w:r>
            <w:r>
              <w:t xml:space="preserve"> min.</w:t>
            </w:r>
          </w:p>
        </w:tc>
        <w:tc>
          <w:tcPr>
            <w:tcW w:w="1260" w:type="dxa"/>
            <w:tcBorders>
              <w:top w:val="single" w:sz="7" w:space="0" w:color="000000"/>
              <w:left w:val="single" w:sz="7" w:space="0" w:color="000000"/>
              <w:bottom w:val="single" w:sz="7" w:space="0" w:color="000000"/>
              <w:right w:val="single" w:sz="7" w:space="0" w:color="000000"/>
            </w:tcBorders>
            <w:vAlign w:val="center"/>
          </w:tcPr>
          <w:p w:rsidR="00582048" w:rsidP="004A0150" w14:paraId="2F0C3FC1" w14:textId="77777777">
            <w:pPr>
              <w:tabs>
                <w:tab w:val="left" w:pos="-1080"/>
                <w:tab w:val="left" w:pos="-720"/>
                <w:tab w:val="left" w:pos="0"/>
                <w:tab w:val="left" w:pos="450"/>
                <w:tab w:val="left" w:pos="720"/>
                <w:tab w:val="left" w:pos="2160"/>
              </w:tabs>
              <w:jc w:val="center"/>
            </w:pPr>
            <w:r>
              <w:t>5,200</w:t>
            </w:r>
          </w:p>
        </w:tc>
      </w:tr>
    </w:tbl>
    <w:p w:rsidR="008421FC" w14:paraId="24A33985" w14:textId="77777777">
      <w:pPr>
        <w:rPr>
          <w:sz w:val="24"/>
        </w:rPr>
      </w:pPr>
    </w:p>
    <w:p w:rsidR="00FF6441" w:rsidRPr="00FF6441" w:rsidP="00FF6441" w14:paraId="24E25E5D" w14:textId="77777777">
      <w:pPr>
        <w:rPr>
          <w:sz w:val="24"/>
        </w:rPr>
      </w:pPr>
      <w:r w:rsidRPr="00FF6441">
        <w:rPr>
          <w:b/>
          <w:sz w:val="24"/>
        </w:rPr>
        <w:t xml:space="preserve">13.  Provide an estimate for the total annual cost burden to respondents or recordkeepers resulting from the collection of information.  (Do not include the cost of any hour burden shown in Items 12 and 14). </w:t>
      </w:r>
    </w:p>
    <w:p w:rsidR="00FF6441" w:rsidRPr="00FF6441" w:rsidP="00FF6441" w14:paraId="1B4ACE5C" w14:textId="77777777">
      <w:pPr>
        <w:rPr>
          <w:sz w:val="24"/>
        </w:rPr>
      </w:pPr>
      <w:r w:rsidRPr="00FF6441">
        <w:rPr>
          <w:sz w:val="24"/>
        </w:rPr>
        <w:t xml:space="preserve">  </w:t>
      </w:r>
    </w:p>
    <w:p w:rsidR="00DB4DD4" w14:paraId="1FDB5838" w14:textId="77777777">
      <w:pPr>
        <w:rPr>
          <w:sz w:val="24"/>
        </w:rPr>
      </w:pPr>
      <w:r>
        <w:rPr>
          <w:sz w:val="24"/>
        </w:rPr>
        <w:t xml:space="preserve">There are </w:t>
      </w:r>
      <w:r>
        <w:rPr>
          <w:sz w:val="24"/>
        </w:rPr>
        <w:t>no cost</w:t>
      </w:r>
      <w:r>
        <w:rPr>
          <w:sz w:val="24"/>
        </w:rPr>
        <w:t>s</w:t>
      </w:r>
      <w:r>
        <w:rPr>
          <w:sz w:val="24"/>
        </w:rPr>
        <w:t xml:space="preserve"> to the respondents.</w:t>
      </w:r>
    </w:p>
    <w:p w:rsidR="00DB4DD4" w14:paraId="3CD42A0B" w14:textId="77777777">
      <w:pPr>
        <w:rPr>
          <w:sz w:val="24"/>
        </w:rPr>
      </w:pPr>
    </w:p>
    <w:p w:rsidR="00223C94" w:rsidP="00223C94" w14:paraId="325DCFB3" w14:textId="77777777">
      <w:pPr>
        <w:rPr>
          <w:b/>
          <w:sz w:val="24"/>
          <w:szCs w:val="24"/>
        </w:rPr>
      </w:pPr>
      <w:r w:rsidRPr="00223C94">
        <w:rPr>
          <w:b/>
          <w:sz w:val="24"/>
          <w:szCs w:val="24"/>
        </w:rPr>
        <w:t xml:space="preserve">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r w:rsidRPr="00223C94">
        <w:rPr>
          <w:b/>
          <w:sz w:val="24"/>
          <w:szCs w:val="24"/>
        </w:rPr>
        <w:t>Agencies may also aggregate cost estimates from Items 12, 13, and 14 in a single table.</w:t>
      </w:r>
    </w:p>
    <w:p w:rsidR="00223C94" w:rsidRPr="00223C94" w:rsidP="00223C94" w14:paraId="53F5C87D" w14:textId="77777777">
      <w:pPr>
        <w:rPr>
          <w:b/>
          <w:sz w:val="24"/>
          <w:szCs w:val="24"/>
        </w:rPr>
      </w:pPr>
    </w:p>
    <w:p w:rsidR="00FA41F7" w:rsidP="00E33651" w14:paraId="171941AC" w14:textId="77777777">
      <w:pPr>
        <w:rPr>
          <w:sz w:val="24"/>
        </w:rPr>
      </w:pPr>
      <w:r>
        <w:rPr>
          <w:sz w:val="24"/>
        </w:rPr>
        <w:t xml:space="preserve">The </w:t>
      </w:r>
      <w:r w:rsidR="00DB4DD4">
        <w:rPr>
          <w:sz w:val="24"/>
        </w:rPr>
        <w:t xml:space="preserve">cost </w:t>
      </w:r>
      <w:r>
        <w:rPr>
          <w:sz w:val="24"/>
        </w:rPr>
        <w:t xml:space="preserve">to the Federal Government </w:t>
      </w:r>
      <w:r w:rsidR="00224BE9">
        <w:rPr>
          <w:sz w:val="24"/>
        </w:rPr>
        <w:t>varies</w:t>
      </w:r>
      <w:r>
        <w:rPr>
          <w:sz w:val="24"/>
        </w:rPr>
        <w:t xml:space="preserve"> for the individual studies</w:t>
      </w:r>
      <w:r w:rsidR="00224BE9">
        <w:rPr>
          <w:sz w:val="24"/>
        </w:rPr>
        <w:t xml:space="preserve"> </w:t>
      </w:r>
      <w:r>
        <w:rPr>
          <w:sz w:val="24"/>
        </w:rPr>
        <w:t>covered in the generic collection. Costs may include</w:t>
      </w:r>
      <w:r w:rsidR="00DB4DD4">
        <w:rPr>
          <w:sz w:val="24"/>
        </w:rPr>
        <w:t>: survey design, pre-testing, translations, professional services, computer programming, data collection, data processing, analysis, report preparation and report presentation for all of the phases of the stud</w:t>
      </w:r>
      <w:r w:rsidR="00655373">
        <w:rPr>
          <w:sz w:val="24"/>
        </w:rPr>
        <w:t>ies</w:t>
      </w:r>
      <w:r w:rsidR="00AA11B2">
        <w:rPr>
          <w:sz w:val="24"/>
        </w:rPr>
        <w:t>.</w:t>
      </w:r>
      <w:r>
        <w:rPr>
          <w:sz w:val="24"/>
        </w:rPr>
        <w:t xml:space="preserve"> Costs will be reported with individual collections when submitted for approval.</w:t>
      </w:r>
      <w:r>
        <w:rPr>
          <w:sz w:val="24"/>
        </w:rPr>
        <w:t xml:space="preserve"> </w:t>
      </w:r>
    </w:p>
    <w:p w:rsidR="00DB4DD4" w14:paraId="3EF92A4B" w14:textId="77777777">
      <w:pPr>
        <w:rPr>
          <w:sz w:val="24"/>
        </w:rPr>
      </w:pPr>
    </w:p>
    <w:p w:rsidR="00223C94" w:rsidP="00223C94" w14:paraId="77D84BAB" w14:textId="77777777">
      <w:pPr>
        <w:rPr>
          <w:b/>
          <w:sz w:val="24"/>
        </w:rPr>
      </w:pPr>
      <w:r w:rsidRPr="00223C94">
        <w:rPr>
          <w:b/>
          <w:sz w:val="24"/>
        </w:rPr>
        <w:t>15.</w:t>
      </w:r>
      <w:r>
        <w:rPr>
          <w:sz w:val="24"/>
        </w:rPr>
        <w:t xml:space="preserve"> </w:t>
      </w:r>
      <w:r w:rsidRPr="00223C94">
        <w:rPr>
          <w:b/>
          <w:sz w:val="24"/>
        </w:rPr>
        <w:t xml:space="preserve">Explain the reasons for any program changes or adjustments reported in Items 13 or 14 of the OMB Form 83-I. </w:t>
      </w:r>
    </w:p>
    <w:p w:rsidR="009C6763" w:rsidP="00223C94" w14:paraId="3FDBE9D0" w14:textId="77777777">
      <w:pPr>
        <w:rPr>
          <w:b/>
          <w:sz w:val="24"/>
        </w:rPr>
      </w:pPr>
    </w:p>
    <w:p w:rsidR="009E13E2" w:rsidRPr="00A0419B" w:rsidP="00A0419B" w14:paraId="72A5B2CA" w14:textId="77A2DDB7">
      <w:pPr>
        <w:rPr>
          <w:sz w:val="24"/>
        </w:rPr>
      </w:pPr>
      <w:r w:rsidRPr="003D1B1D">
        <w:rPr>
          <w:sz w:val="24"/>
        </w:rPr>
        <w:t>No program changes or adjustments are reported.</w:t>
      </w:r>
    </w:p>
    <w:p w:rsidR="00223C94" w:rsidRPr="00223C94" w:rsidP="00223C94" w14:paraId="59C8F49B" w14:textId="77777777">
      <w:pPr>
        <w:rPr>
          <w:b/>
          <w:sz w:val="24"/>
        </w:rPr>
      </w:pPr>
    </w:p>
    <w:p w:rsidR="00EE1843" w:rsidRPr="00EE1843" w:rsidP="00EE1843" w14:paraId="0D5CB6A7" w14:textId="77777777">
      <w:pPr>
        <w:rPr>
          <w:b/>
          <w:sz w:val="24"/>
        </w:rPr>
      </w:pPr>
      <w:r w:rsidRPr="00EE1843">
        <w:rPr>
          <w:b/>
          <w:sz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EE1843" w14:paraId="38D7DE10" w14:textId="77777777">
      <w:pPr>
        <w:rPr>
          <w:sz w:val="24"/>
        </w:rPr>
      </w:pPr>
    </w:p>
    <w:p w:rsidR="0038403A" w:rsidRPr="0038403A" w:rsidP="0038403A" w14:paraId="4C6EEAE5" w14:textId="77777777">
      <w:pPr>
        <w:rPr>
          <w:sz w:val="24"/>
        </w:rPr>
      </w:pPr>
      <w:r w:rsidRPr="0038403A">
        <w:rPr>
          <w:sz w:val="24"/>
        </w:rPr>
        <w:t xml:space="preserve">Feedback collected under this generic clearance provides useful information, but it does not yield data that can be generalized to the overall population. Findings will be used for general service improvement, but are not for publication or other public release.  </w:t>
      </w:r>
    </w:p>
    <w:p w:rsidR="0038403A" w:rsidRPr="0038403A" w:rsidP="0038403A" w14:paraId="56364049" w14:textId="77777777">
      <w:pPr>
        <w:rPr>
          <w:sz w:val="24"/>
        </w:rPr>
      </w:pPr>
    </w:p>
    <w:p w:rsidR="00B67FC3" w:rsidRPr="0038403A" w14:paraId="7A4D1C57" w14:textId="77777777">
      <w:pPr>
        <w:rPr>
          <w:sz w:val="24"/>
        </w:rPr>
      </w:pPr>
      <w:r w:rsidRPr="0038403A">
        <w:rPr>
          <w:sz w:val="24"/>
        </w:rPr>
        <w:t xml:space="preserve">Although the </w:t>
      </w:r>
      <w:r>
        <w:rPr>
          <w:sz w:val="24"/>
        </w:rPr>
        <w:t>Bureau</w:t>
      </w:r>
      <w:r w:rsidRPr="0038403A">
        <w:rPr>
          <w:sz w:val="24"/>
        </w:rPr>
        <w:t xml:space="preserve"> does not intend to publish its findings, </w:t>
      </w:r>
      <w:r>
        <w:rPr>
          <w:sz w:val="24"/>
        </w:rPr>
        <w:t>Fiscal Service</w:t>
      </w:r>
      <w:r w:rsidRPr="0038403A">
        <w:rPr>
          <w:sz w:val="24"/>
        </w:rPr>
        <w:t xml:space="preserve"> may receive requests to release the information (e.g., congressional inquiry, Freedom of Information Act requests).  </w:t>
      </w:r>
      <w:r>
        <w:rPr>
          <w:sz w:val="24"/>
        </w:rPr>
        <w:t>Fiscal Service</w:t>
      </w:r>
      <w:r w:rsidRPr="0038403A">
        <w:rPr>
          <w:sz w:val="24"/>
        </w:rPr>
        <w:t xml:space="preserve"> will disseminate the findings when appropriate, strictly following the </w:t>
      </w:r>
      <w:r>
        <w:rPr>
          <w:sz w:val="24"/>
        </w:rPr>
        <w:t>Bureau</w:t>
      </w:r>
      <w:r w:rsidRPr="0038403A">
        <w:rPr>
          <w:sz w:val="24"/>
        </w:rPr>
        <w:t xml:space="preserve">'s "Guidelines for Ensuring the Quality of Information Disseminated to the Public.", and will include specific discussion of the limitation of the qualitative results discussed above. </w:t>
      </w:r>
    </w:p>
    <w:p w:rsidR="0038403A" w:rsidRPr="0038403A" w14:paraId="7B451E0D" w14:textId="77777777"/>
    <w:p w:rsidR="00B67FC3" w14:paraId="259EE105" w14:textId="77777777">
      <w:pPr>
        <w:rPr>
          <w:sz w:val="24"/>
        </w:rPr>
      </w:pPr>
      <w:r>
        <w:rPr>
          <w:sz w:val="24"/>
        </w:rPr>
        <w:t xml:space="preserve">Additional information regarding analytical techniques and time schedules are provided to </w:t>
      </w:r>
      <w:smartTag w:uri="urn:schemas-microsoft-com:office:smarttags" w:element="place">
        <w:r>
          <w:rPr>
            <w:sz w:val="24"/>
          </w:rPr>
          <w:t>OM</w:t>
        </w:r>
      </w:smartTag>
      <w:r>
        <w:rPr>
          <w:sz w:val="24"/>
        </w:rPr>
        <w:t>B with each request for survey clearance under this generic survey approval.</w:t>
      </w:r>
    </w:p>
    <w:p w:rsidR="00EE432D" w14:paraId="5B2B3FE0" w14:textId="77777777">
      <w:pPr>
        <w:rPr>
          <w:sz w:val="24"/>
        </w:rPr>
      </w:pPr>
    </w:p>
    <w:p w:rsidR="009E712B" w:rsidRPr="009E712B" w:rsidP="009E712B" w14:paraId="253E6405" w14:textId="77777777">
      <w:pPr>
        <w:rPr>
          <w:b/>
          <w:sz w:val="24"/>
          <w:szCs w:val="24"/>
        </w:rPr>
      </w:pPr>
      <w:r w:rsidRPr="009E712B">
        <w:rPr>
          <w:b/>
          <w:sz w:val="24"/>
          <w:szCs w:val="24"/>
        </w:rPr>
        <w:t xml:space="preserve">17. </w:t>
      </w:r>
      <w:r w:rsidRPr="009E712B">
        <w:rPr>
          <w:b/>
          <w:sz w:val="24"/>
          <w:szCs w:val="24"/>
        </w:rPr>
        <w:t>If seeking approval to not display the expiration date for OMB approval of the information collection, explain the reasons that display would be inappropriate.</w:t>
      </w:r>
    </w:p>
    <w:p w:rsidR="009E712B" w14:paraId="658FE004" w14:textId="77777777">
      <w:pPr>
        <w:rPr>
          <w:sz w:val="24"/>
        </w:rPr>
      </w:pPr>
    </w:p>
    <w:p w:rsidR="00DB4DD4" w14:paraId="5B91EF3D" w14:textId="77777777">
      <w:pPr>
        <w:rPr>
          <w:sz w:val="24"/>
        </w:rPr>
      </w:pPr>
      <w:r>
        <w:rPr>
          <w:sz w:val="24"/>
        </w:rPr>
        <w:t>No exemption is requested.</w:t>
      </w:r>
    </w:p>
    <w:p w:rsidR="00DB4DD4" w14:paraId="0893E5AF" w14:textId="77777777">
      <w:pPr>
        <w:rPr>
          <w:sz w:val="24"/>
        </w:rPr>
      </w:pPr>
    </w:p>
    <w:p w:rsidR="00A60EE6" w:rsidP="00A60EE6" w14:paraId="2CDF1AFB" w14:textId="77777777">
      <w:pPr>
        <w:rPr>
          <w:b/>
          <w:sz w:val="24"/>
        </w:rPr>
      </w:pPr>
      <w:r w:rsidRPr="00A60EE6">
        <w:rPr>
          <w:b/>
          <w:sz w:val="24"/>
        </w:rPr>
        <w:t>18.</w:t>
      </w:r>
      <w:r>
        <w:rPr>
          <w:sz w:val="24"/>
        </w:rPr>
        <w:t xml:space="preserve"> </w:t>
      </w:r>
      <w:r w:rsidRPr="00A60EE6">
        <w:rPr>
          <w:b/>
          <w:sz w:val="24"/>
        </w:rPr>
        <w:t>Explain each exception to the certification statement identified in Item 19, “Certification for Paperwork Reduction Act Submissions,” of OMB Form 83-I.</w:t>
      </w:r>
    </w:p>
    <w:p w:rsidR="00A60EE6" w:rsidRPr="00A60EE6" w:rsidP="00A60EE6" w14:paraId="061ACFB3" w14:textId="77777777">
      <w:pPr>
        <w:rPr>
          <w:b/>
          <w:sz w:val="24"/>
        </w:rPr>
      </w:pPr>
    </w:p>
    <w:p w:rsidR="00A0284E" w14:paraId="4D9EC890" w14:textId="1E22C4CE">
      <w:pPr>
        <w:rPr>
          <w:sz w:val="24"/>
        </w:rPr>
      </w:pPr>
      <w:r>
        <w:rPr>
          <w:sz w:val="24"/>
        </w:rPr>
        <w:t>There are no exceptions to the certification statement</w:t>
      </w:r>
      <w:r w:rsidR="003D1B1D">
        <w:rPr>
          <w:sz w:val="24"/>
        </w:rPr>
        <w:t>.</w:t>
      </w:r>
      <w:r>
        <w:rPr>
          <w:sz w:val="24"/>
        </w:rPr>
        <w:t xml:space="preserve"> </w:t>
      </w:r>
    </w:p>
    <w:p w:rsidR="00A0284E" w14:paraId="5F81218A" w14:textId="77777777">
      <w:pPr>
        <w:rPr>
          <w:sz w:val="24"/>
        </w:rPr>
      </w:pPr>
    </w:p>
    <w:sectPr w:rsidSect="00600832">
      <w:footerReference w:type="even" r:id="rId4"/>
      <w:footerReference w:type="default" r:id="rId5"/>
      <w:pgSz w:w="12240" w:h="15840"/>
      <w:pgMar w:top="1440" w:right="1296" w:bottom="1350" w:left="1440" w:header="360" w:footer="36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77E5" w:rsidP="00664923" w14:paraId="6C633060"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F77E5" w14:paraId="3443D30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77E5" w:rsidP="00664923" w14:paraId="6705F9DA"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E3BF6">
      <w:rPr>
        <w:rStyle w:val="PageNumber"/>
      </w:rPr>
      <w:t>4</w:t>
    </w:r>
    <w:r>
      <w:rPr>
        <w:rStyle w:val="PageNumber"/>
      </w:rPr>
      <w:fldChar w:fldCharType="end"/>
    </w:r>
  </w:p>
  <w:p w:rsidR="005F77E5" w14:paraId="6B4F111C"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C94BB7"/>
    <w:multiLevelType w:val="multilevel"/>
    <w:tmpl w:val="C5F6FF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2AB354C3"/>
    <w:multiLevelType w:val="hybridMultilevel"/>
    <w:tmpl w:val="D82470DC"/>
    <w:lvl w:ilvl="0">
      <w:start w:val="1"/>
      <w:numFmt w:val="decimal"/>
      <w:lvlText w:val="%1."/>
      <w:lvlJc w:val="left"/>
      <w:pPr>
        <w:tabs>
          <w:tab w:val="num" w:pos="720"/>
        </w:tabs>
        <w:ind w:left="720" w:hanging="360"/>
      </w:pPr>
      <w:rPr>
        <w:rFonts w:hint="default"/>
        <w:b/>
        <w:sz w:val="20"/>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35A23781"/>
    <w:multiLevelType w:val="multilevel"/>
    <w:tmpl w:val="3BA202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B2F19BB"/>
    <w:multiLevelType w:val="hybridMultilevel"/>
    <w:tmpl w:val="468A7A18"/>
    <w:lvl w:ilvl="0">
      <w:start w:val="3"/>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
    <w:nsid w:val="7E530884"/>
    <w:multiLevelType w:val="hybridMultilevel"/>
    <w:tmpl w:val="FDAC50B4"/>
    <w:lvl w:ilvl="0">
      <w:start w:val="3"/>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num w:numId="1" w16cid:durableId="1304508587">
    <w:abstractNumId w:val="3"/>
  </w:num>
  <w:num w:numId="2" w16cid:durableId="1058093521">
    <w:abstractNumId w:val="4"/>
  </w:num>
  <w:num w:numId="3" w16cid:durableId="1028415378">
    <w:abstractNumId w:val="0"/>
  </w:num>
  <w:num w:numId="4" w16cid:durableId="941104904">
    <w:abstractNumId w:val="2"/>
  </w:num>
  <w:num w:numId="5" w16cid:durableId="9579563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GrammaticalErrors/>
  <w:zoom w:percent="7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642"/>
    <w:rsid w:val="000D2504"/>
    <w:rsid w:val="000F245D"/>
    <w:rsid w:val="0011218D"/>
    <w:rsid w:val="0011520D"/>
    <w:rsid w:val="00130BC3"/>
    <w:rsid w:val="0015232A"/>
    <w:rsid w:val="00181BAE"/>
    <w:rsid w:val="0019421E"/>
    <w:rsid w:val="001E3094"/>
    <w:rsid w:val="001E3B4B"/>
    <w:rsid w:val="001F1316"/>
    <w:rsid w:val="002165C5"/>
    <w:rsid w:val="0022102C"/>
    <w:rsid w:val="00223C94"/>
    <w:rsid w:val="00224BE9"/>
    <w:rsid w:val="00232F87"/>
    <w:rsid w:val="00234EA0"/>
    <w:rsid w:val="00267974"/>
    <w:rsid w:val="0027298B"/>
    <w:rsid w:val="002E3B74"/>
    <w:rsid w:val="003316BA"/>
    <w:rsid w:val="00335878"/>
    <w:rsid w:val="0035161F"/>
    <w:rsid w:val="0038403A"/>
    <w:rsid w:val="00395020"/>
    <w:rsid w:val="003B0CB0"/>
    <w:rsid w:val="003D1B1D"/>
    <w:rsid w:val="003D6B9F"/>
    <w:rsid w:val="003F4446"/>
    <w:rsid w:val="00402DAF"/>
    <w:rsid w:val="004175E1"/>
    <w:rsid w:val="0044141E"/>
    <w:rsid w:val="00450D34"/>
    <w:rsid w:val="00461BF7"/>
    <w:rsid w:val="004805D5"/>
    <w:rsid w:val="004A0150"/>
    <w:rsid w:val="004A31FD"/>
    <w:rsid w:val="004E1D01"/>
    <w:rsid w:val="00501642"/>
    <w:rsid w:val="00516D03"/>
    <w:rsid w:val="00544D39"/>
    <w:rsid w:val="00582048"/>
    <w:rsid w:val="005B083E"/>
    <w:rsid w:val="005E2597"/>
    <w:rsid w:val="005F4803"/>
    <w:rsid w:val="005F58C4"/>
    <w:rsid w:val="005F77E5"/>
    <w:rsid w:val="00600832"/>
    <w:rsid w:val="00620DCE"/>
    <w:rsid w:val="006310AA"/>
    <w:rsid w:val="00655373"/>
    <w:rsid w:val="00664923"/>
    <w:rsid w:val="00665F97"/>
    <w:rsid w:val="006978B6"/>
    <w:rsid w:val="006B7913"/>
    <w:rsid w:val="0072157F"/>
    <w:rsid w:val="00740199"/>
    <w:rsid w:val="0079246C"/>
    <w:rsid w:val="007C5A4E"/>
    <w:rsid w:val="007D59D7"/>
    <w:rsid w:val="007F52F2"/>
    <w:rsid w:val="00830725"/>
    <w:rsid w:val="008421FC"/>
    <w:rsid w:val="00854847"/>
    <w:rsid w:val="008660EA"/>
    <w:rsid w:val="00866963"/>
    <w:rsid w:val="008722B6"/>
    <w:rsid w:val="008812F8"/>
    <w:rsid w:val="008B0ED6"/>
    <w:rsid w:val="008B1141"/>
    <w:rsid w:val="008C0BEB"/>
    <w:rsid w:val="008E214F"/>
    <w:rsid w:val="008E6D79"/>
    <w:rsid w:val="008F6CCC"/>
    <w:rsid w:val="00920DA1"/>
    <w:rsid w:val="009418CB"/>
    <w:rsid w:val="0099337D"/>
    <w:rsid w:val="009A6F8A"/>
    <w:rsid w:val="009B78E3"/>
    <w:rsid w:val="009C0886"/>
    <w:rsid w:val="009C6763"/>
    <w:rsid w:val="009D0D05"/>
    <w:rsid w:val="009E13E2"/>
    <w:rsid w:val="009E3BF6"/>
    <w:rsid w:val="009E712B"/>
    <w:rsid w:val="00A0284E"/>
    <w:rsid w:val="00A0419B"/>
    <w:rsid w:val="00A04B37"/>
    <w:rsid w:val="00A55F03"/>
    <w:rsid w:val="00A60EE6"/>
    <w:rsid w:val="00A93A7F"/>
    <w:rsid w:val="00AA11B2"/>
    <w:rsid w:val="00AC4776"/>
    <w:rsid w:val="00AE2261"/>
    <w:rsid w:val="00B0541D"/>
    <w:rsid w:val="00B25A0B"/>
    <w:rsid w:val="00B46E15"/>
    <w:rsid w:val="00B67FC3"/>
    <w:rsid w:val="00BD1BBC"/>
    <w:rsid w:val="00C069F3"/>
    <w:rsid w:val="00C56034"/>
    <w:rsid w:val="00CD54F9"/>
    <w:rsid w:val="00D06837"/>
    <w:rsid w:val="00D23F7B"/>
    <w:rsid w:val="00DB4DD4"/>
    <w:rsid w:val="00E33651"/>
    <w:rsid w:val="00E4684B"/>
    <w:rsid w:val="00E5563D"/>
    <w:rsid w:val="00E76584"/>
    <w:rsid w:val="00EB2521"/>
    <w:rsid w:val="00EC0642"/>
    <w:rsid w:val="00EE1843"/>
    <w:rsid w:val="00EE432D"/>
    <w:rsid w:val="00EE7C0E"/>
    <w:rsid w:val="00F32E6D"/>
    <w:rsid w:val="00F61FFA"/>
    <w:rsid w:val="00F7196E"/>
    <w:rsid w:val="00F749CF"/>
    <w:rsid w:val="00FA41F7"/>
    <w:rsid w:val="00FA70C7"/>
    <w:rsid w:val="00FB4731"/>
    <w:rsid w:val="00FC2C37"/>
    <w:rsid w:val="00FD0CB9"/>
    <w:rsid w:val="00FF644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6180079"/>
  <w15:chartTrackingRefBased/>
  <w15:docId w15:val="{E3F79B92-93E4-477A-819F-F1D3350FB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noProof/>
      <w:color w:val="000000"/>
    </w:rPr>
  </w:style>
  <w:style w:type="paragraph" w:styleId="Heading2">
    <w:name w:val="heading 2"/>
    <w:basedOn w:val="Normal"/>
    <w:next w:val="Normal"/>
    <w:qFormat/>
    <w:rsid w:val="00664923"/>
    <w:pPr>
      <w:keepNext/>
      <w:spacing w:before="240" w:after="60"/>
      <w:outlineLvl w:val="1"/>
    </w:pPr>
    <w:rPr>
      <w:rFonts w:ascii="Arial" w:hAnsi="Arial" w:cs="Arial"/>
      <w:b/>
      <w:bCs/>
      <w:i/>
      <w:iCs/>
      <w:sz w:val="28"/>
      <w:szCs w:val="28"/>
    </w:rPr>
  </w:style>
  <w:style w:type="paragraph" w:styleId="Heading3">
    <w:name w:val="heading 3"/>
    <w:basedOn w:val="Normal"/>
    <w:qFormat/>
    <w:rsid w:val="00B0541D"/>
    <w:pPr>
      <w:widowControl/>
      <w:spacing w:before="100" w:beforeAutospacing="1" w:after="100" w:afterAutospacing="1"/>
      <w:outlineLvl w:val="2"/>
    </w:pPr>
    <w:rPr>
      <w:rFonts w:ascii="Verdana" w:hAnsi="Verdana"/>
      <w:b/>
      <w:bCs/>
      <w:noProof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rsid w:val="00B054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noProof w:val="0"/>
      <w:color w:val="auto"/>
    </w:rPr>
  </w:style>
  <w:style w:type="paragraph" w:styleId="Footer">
    <w:name w:val="footer"/>
    <w:basedOn w:val="Normal"/>
    <w:rsid w:val="00664923"/>
    <w:pPr>
      <w:tabs>
        <w:tab w:val="center" w:pos="4320"/>
        <w:tab w:val="right" w:pos="8640"/>
      </w:tabs>
    </w:pPr>
  </w:style>
  <w:style w:type="character" w:styleId="PageNumber">
    <w:name w:val="page number"/>
    <w:basedOn w:val="DefaultParagraphFont"/>
    <w:rsid w:val="00664923"/>
    <w:rPr>
      <w:rFonts w:ascii="Times New Roman" w:hAnsi="Times New Roman" w:hint="default"/>
      <w:strike w:val="0"/>
      <w:noProof/>
      <w:color w:val="000000"/>
      <w:spacing w:val="0"/>
      <w:sz w:val="20"/>
    </w:rPr>
  </w:style>
  <w:style w:type="paragraph" w:styleId="NormalWeb">
    <w:name w:val="Normal (Web)"/>
    <w:basedOn w:val="Normal"/>
    <w:rsid w:val="00664923"/>
    <w:pPr>
      <w:widowControl/>
      <w:spacing w:before="100" w:beforeAutospacing="1" w:after="100" w:afterAutospacing="1"/>
    </w:pPr>
    <w:rPr>
      <w:noProof w:val="0"/>
      <w:color w:val="auto"/>
      <w:sz w:val="24"/>
      <w:szCs w:val="24"/>
    </w:rPr>
  </w:style>
  <w:style w:type="character" w:styleId="Strong">
    <w:name w:val="Strong"/>
    <w:qFormat/>
    <w:rsid w:val="00664923"/>
    <w:rPr>
      <w:rFonts w:ascii="Times New Roman" w:hAnsi="Times New Roman" w:hint="default"/>
      <w:b/>
      <w:bCs/>
      <w:strike w:val="0"/>
      <w:noProof/>
      <w:color w:val="000000"/>
      <w:spacing w:val="0"/>
      <w:sz w:val="20"/>
    </w:rPr>
  </w:style>
  <w:style w:type="paragraph" w:styleId="HTMLTopofForm">
    <w:name w:val="HTML Top of Form"/>
    <w:basedOn w:val="Normal"/>
    <w:next w:val="Normal"/>
    <w:hidden/>
    <w:rsid w:val="00EE7C0E"/>
    <w:pPr>
      <w:widowControl/>
      <w:pBdr>
        <w:bottom w:val="single" w:sz="6" w:space="1" w:color="auto"/>
      </w:pBdr>
      <w:jc w:val="center"/>
    </w:pPr>
    <w:rPr>
      <w:rFonts w:ascii="Arial" w:hAnsi="Arial" w:cs="Arial"/>
      <w:noProof w:val="0"/>
      <w:vanish/>
      <w:color w:val="auto"/>
      <w:sz w:val="16"/>
      <w:szCs w:val="16"/>
    </w:rPr>
  </w:style>
  <w:style w:type="character" w:styleId="Emphasis">
    <w:name w:val="Emphasis"/>
    <w:qFormat/>
    <w:rsid w:val="00EE7C0E"/>
    <w:rPr>
      <w:rFonts w:ascii="Times New Roman" w:hAnsi="Times New Roman" w:hint="default"/>
      <w:i/>
      <w:iCs/>
      <w:strike w:val="0"/>
      <w:noProof/>
      <w:color w:val="000000"/>
      <w:spacing w:val="0"/>
      <w:sz w:val="20"/>
    </w:rPr>
  </w:style>
  <w:style w:type="character" w:customStyle="1" w:styleId="term1">
    <w:name w:val="term1"/>
    <w:rsid w:val="00EE7C0E"/>
    <w:rPr>
      <w:rFonts w:ascii="Times New Roman" w:hAnsi="Times New Roman" w:hint="default"/>
      <w:b/>
      <w:bCs/>
      <w:strike w:val="0"/>
      <w:noProof/>
      <w:color w:val="000000"/>
      <w:spacing w:val="0"/>
      <w:sz w:val="20"/>
    </w:rPr>
  </w:style>
  <w:style w:type="character" w:customStyle="1" w:styleId="pmterms11">
    <w:name w:val="pmterms11"/>
    <w:rsid w:val="00EE7C0E"/>
    <w:rPr>
      <w:rFonts w:ascii="Times New Roman" w:hAnsi="Times New Roman" w:hint="default"/>
      <w:b/>
      <w:bCs/>
      <w:i w:val="0"/>
      <w:iCs w:val="0"/>
      <w:strike w:val="0"/>
      <w:noProof/>
      <w:color w:val="000000"/>
      <w:spacing w:val="0"/>
      <w:sz w:val="20"/>
    </w:rPr>
  </w:style>
  <w:style w:type="paragraph" w:styleId="HTMLBottomofForm">
    <w:name w:val="HTML Bottom of Form"/>
    <w:basedOn w:val="Normal"/>
    <w:next w:val="Normal"/>
    <w:hidden/>
    <w:rsid w:val="00EE7C0E"/>
    <w:pPr>
      <w:widowControl/>
      <w:pBdr>
        <w:top w:val="single" w:sz="6" w:space="1" w:color="auto"/>
      </w:pBdr>
      <w:jc w:val="center"/>
    </w:pPr>
    <w:rPr>
      <w:rFonts w:ascii="Arial" w:hAnsi="Arial" w:cs="Arial"/>
      <w:noProof w:val="0"/>
      <w:vanish/>
      <w:color w:val="auto"/>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4</Pages>
  <Words>1606</Words>
  <Characters>9176</Characters>
  <Application>Microsoft Office Word</Application>
  <DocSecurity>0</DocSecurity>
  <Lines>199</Lines>
  <Paragraphs>61</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 A</vt:lpstr>
    </vt:vector>
  </TitlesOfParts>
  <Company>FMSUser</Company>
  <LinksUpToDate>false</LinksUpToDate>
  <CharactersWithSpaces>10721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 A</dc:title>
  <dc:creator>RKENT</dc:creator>
  <cp:lastModifiedBy>Bruce A. Sharp</cp:lastModifiedBy>
  <cp:revision>4</cp:revision>
  <dcterms:created xsi:type="dcterms:W3CDTF">2023-01-30T16:21:00Z</dcterms:created>
  <dcterms:modified xsi:type="dcterms:W3CDTF">2026-02-25T20:10:00Z</dcterms:modified>
</cp:coreProperties>
</file>