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RPr="00BA0154" w:rsidP="005B0888" w14:paraId="2545456A" w14:textId="67082553">
      <w:pPr>
        <w:tabs>
          <w:tab w:val="left" w:pos="720"/>
        </w:tabs>
        <w:jc w:val="center"/>
        <w:rPr>
          <w:rFonts w:ascii="Arial" w:hAnsi="Arial" w:cs="Arial"/>
          <w:b/>
          <w:caps/>
          <w:sz w:val="22"/>
          <w:szCs w:val="22"/>
        </w:rPr>
      </w:pPr>
      <w:r w:rsidRPr="002D3783">
        <w:rPr>
          <w:rFonts w:ascii="Arial" w:hAnsi="Arial" w:cs="Arial"/>
          <w:caps/>
          <w:sz w:val="22"/>
          <w:szCs w:val="22"/>
          <w:lang w:val="en-CA"/>
        </w:rPr>
        <w:fldChar w:fldCharType="begin"/>
      </w:r>
      <w:r w:rsidRPr="002D3783">
        <w:rPr>
          <w:rFonts w:ascii="Arial" w:hAnsi="Arial" w:cs="Arial"/>
          <w:caps/>
          <w:sz w:val="22"/>
          <w:szCs w:val="22"/>
          <w:lang w:val="en-CA"/>
        </w:rPr>
        <w:instrText xml:space="preserve"> SEQ CHAPTER \h \r 1</w:instrText>
      </w:r>
      <w:r w:rsidRPr="002D3783">
        <w:rPr>
          <w:rFonts w:ascii="Arial" w:hAnsi="Arial" w:cs="Arial"/>
          <w:caps/>
          <w:sz w:val="22"/>
          <w:szCs w:val="22"/>
          <w:lang w:val="en-CA"/>
        </w:rPr>
        <w:fldChar w:fldCharType="separate"/>
      </w:r>
      <w:r w:rsidRPr="002D3783">
        <w:rPr>
          <w:rFonts w:ascii="Arial" w:hAnsi="Arial" w:cs="Arial"/>
          <w:caps/>
          <w:sz w:val="22"/>
          <w:szCs w:val="22"/>
          <w:lang w:val="en-CA"/>
        </w:rPr>
        <w:fldChar w:fldCharType="end"/>
      </w:r>
      <w:r w:rsidRPr="00BA0154">
        <w:rPr>
          <w:rFonts w:ascii="Arial" w:hAnsi="Arial" w:cs="Arial"/>
          <w:b/>
          <w:caps/>
          <w:sz w:val="22"/>
          <w:szCs w:val="22"/>
        </w:rPr>
        <w:t xml:space="preserve">Supporting Statement </w:t>
      </w:r>
      <w:r w:rsidRPr="00BA0154" w:rsidR="007851E9">
        <w:rPr>
          <w:rFonts w:ascii="Arial" w:hAnsi="Arial" w:cs="Arial"/>
          <w:b/>
          <w:caps/>
          <w:sz w:val="22"/>
          <w:szCs w:val="22"/>
        </w:rPr>
        <w:t>A</w:t>
      </w:r>
    </w:p>
    <w:p w:rsidR="002C325E" w:rsidRPr="00BA0154" w:rsidP="005B0888" w14:paraId="6D84AFBF" w14:textId="77777777">
      <w:pPr>
        <w:tabs>
          <w:tab w:val="left" w:pos="720"/>
        </w:tabs>
        <w:jc w:val="center"/>
        <w:rPr>
          <w:rFonts w:ascii="Arial" w:hAnsi="Arial" w:cs="Arial"/>
          <w:b/>
          <w:caps/>
          <w:sz w:val="22"/>
          <w:szCs w:val="22"/>
        </w:rPr>
      </w:pPr>
      <w:r w:rsidRPr="00BA0154">
        <w:rPr>
          <w:rFonts w:ascii="Arial" w:hAnsi="Arial" w:cs="Arial"/>
          <w:b/>
          <w:caps/>
          <w:sz w:val="22"/>
          <w:szCs w:val="22"/>
        </w:rPr>
        <w:t>for paperwork reduction act submission</w:t>
      </w:r>
    </w:p>
    <w:p w:rsidR="002C325E" w:rsidRPr="00BA0154" w:rsidP="005B0888" w14:paraId="16573417" w14:textId="77777777">
      <w:pPr>
        <w:tabs>
          <w:tab w:val="left" w:pos="720"/>
        </w:tabs>
        <w:jc w:val="center"/>
        <w:rPr>
          <w:rFonts w:ascii="Arial" w:hAnsi="Arial" w:cs="Arial"/>
          <w:b/>
          <w:sz w:val="22"/>
          <w:szCs w:val="22"/>
          <w:highlight w:val="lightGray"/>
        </w:rPr>
      </w:pPr>
    </w:p>
    <w:p w:rsidR="00295103" w:rsidRPr="00BA0154" w:rsidP="709F5254" w14:paraId="0FD0E61F" w14:textId="55E6CD57">
      <w:pPr>
        <w:tabs>
          <w:tab w:val="left" w:pos="720"/>
        </w:tabs>
        <w:jc w:val="center"/>
        <w:rPr>
          <w:rFonts w:ascii="Arial" w:hAnsi="Arial" w:cs="Arial"/>
          <w:b/>
          <w:sz w:val="22"/>
          <w:szCs w:val="22"/>
        </w:rPr>
      </w:pPr>
      <w:r w:rsidRPr="00BA0154">
        <w:rPr>
          <w:rFonts w:ascii="Arial" w:hAnsi="Arial" w:cs="Arial"/>
          <w:b/>
          <w:sz w:val="22"/>
          <w:szCs w:val="22"/>
        </w:rPr>
        <w:t xml:space="preserve">OMB Control Number </w:t>
      </w:r>
      <w:r w:rsidRPr="002D3783" w:rsidR="002D3783">
        <w:rPr>
          <w:rFonts w:ascii="Arial" w:hAnsi="Arial" w:cs="Arial"/>
          <w:b/>
          <w:sz w:val="22"/>
          <w:szCs w:val="22"/>
        </w:rPr>
        <w:t>10</w:t>
      </w:r>
      <w:r w:rsidRPr="002D3783" w:rsidR="516416EC">
        <w:rPr>
          <w:rFonts w:ascii="Arial" w:hAnsi="Arial" w:cs="Arial"/>
          <w:b/>
          <w:sz w:val="22"/>
          <w:szCs w:val="22"/>
        </w:rPr>
        <w:t>28</w:t>
      </w:r>
      <w:r w:rsidRPr="002D3783" w:rsidR="007D7209">
        <w:rPr>
          <w:rFonts w:ascii="Arial" w:hAnsi="Arial" w:cs="Arial"/>
          <w:b/>
          <w:sz w:val="22"/>
          <w:szCs w:val="22"/>
        </w:rPr>
        <w:t>-</w:t>
      </w:r>
      <w:r w:rsidRPr="002D3783" w:rsidR="27042717">
        <w:rPr>
          <w:rFonts w:ascii="Arial" w:hAnsi="Arial" w:cs="Arial"/>
          <w:b/>
          <w:sz w:val="22"/>
          <w:szCs w:val="22"/>
        </w:rPr>
        <w:t>0097</w:t>
      </w:r>
    </w:p>
    <w:p w:rsidR="009B359F" w:rsidRPr="00BA0154" w:rsidP="005B0888" w14:paraId="5C18DE7E" w14:textId="77777777">
      <w:pPr>
        <w:tabs>
          <w:tab w:val="left" w:pos="720"/>
        </w:tabs>
        <w:jc w:val="center"/>
        <w:rPr>
          <w:rFonts w:ascii="Arial" w:hAnsi="Arial" w:cs="Arial"/>
          <w:sz w:val="22"/>
          <w:szCs w:val="22"/>
        </w:rPr>
      </w:pPr>
    </w:p>
    <w:p w:rsidR="00FA14F6" w:rsidRPr="00BA0154" w:rsidP="709F5254" w14:paraId="4DAAA8DB" w14:textId="77777777">
      <w:pPr>
        <w:tabs>
          <w:tab w:val="left" w:pos="720"/>
        </w:tabs>
        <w:rPr>
          <w:rFonts w:ascii="Arial" w:hAnsi="Arial" w:cs="Arial"/>
          <w:sz w:val="22"/>
          <w:szCs w:val="22"/>
        </w:rPr>
      </w:pPr>
      <w:r w:rsidRPr="00BA0154">
        <w:rPr>
          <w:rFonts w:ascii="Arial" w:hAnsi="Arial" w:cs="Arial"/>
          <w:b/>
          <w:bCs/>
          <w:sz w:val="22"/>
          <w:szCs w:val="22"/>
        </w:rPr>
        <w:t>Terms of Clearance:</w:t>
      </w:r>
      <w:r w:rsidRPr="00BA0154">
        <w:rPr>
          <w:rFonts w:ascii="Arial" w:hAnsi="Arial" w:cs="Arial"/>
          <w:sz w:val="22"/>
          <w:szCs w:val="22"/>
        </w:rPr>
        <w:t xml:space="preserve">  If OMB previously approved the information collection with terms of clearance, quote the terms here:  “OMB approved this information collection on [Insert date of previous OMB approval] with the following terms of clearance:  [Insert terms specified by OMB].”</w:t>
      </w:r>
    </w:p>
    <w:p w:rsidR="00FA14F6" w:rsidRPr="00BA0154" w:rsidP="00FA14F6" w14:paraId="271CC0A9" w14:textId="77777777">
      <w:pPr>
        <w:tabs>
          <w:tab w:val="left" w:pos="-1080"/>
          <w:tab w:val="left" w:pos="-720"/>
          <w:tab w:val="left" w:pos="720"/>
        </w:tabs>
        <w:rPr>
          <w:rFonts w:ascii="Arial" w:hAnsi="Arial" w:cs="Arial"/>
          <w:sz w:val="22"/>
          <w:szCs w:val="22"/>
        </w:rPr>
      </w:pPr>
    </w:p>
    <w:p w:rsidR="77FA01A5" w:rsidRPr="00BA0154" w:rsidP="709F5254" w14:paraId="2BA450BD" w14:textId="4C8201E6">
      <w:pPr>
        <w:tabs>
          <w:tab w:val="left" w:pos="720"/>
        </w:tabs>
        <w:spacing w:line="259" w:lineRule="auto"/>
        <w:rPr>
          <w:rFonts w:ascii="Arial" w:hAnsi="Arial" w:cs="Arial"/>
          <w:sz w:val="22"/>
          <w:szCs w:val="22"/>
        </w:rPr>
      </w:pPr>
      <w:r w:rsidRPr="00BA0154">
        <w:rPr>
          <w:rFonts w:ascii="Arial" w:hAnsi="Arial" w:cs="Arial"/>
          <w:sz w:val="22"/>
          <w:szCs w:val="22"/>
        </w:rPr>
        <w:t>None.</w:t>
      </w:r>
    </w:p>
    <w:p w:rsidR="00FA14F6" w:rsidRPr="00BA0154" w:rsidP="00FA14F6" w14:paraId="5198EC9B" w14:textId="77777777">
      <w:pPr>
        <w:tabs>
          <w:tab w:val="left" w:pos="-1080"/>
          <w:tab w:val="left" w:pos="-720"/>
          <w:tab w:val="left" w:pos="720"/>
        </w:tabs>
        <w:jc w:val="center"/>
        <w:rPr>
          <w:rFonts w:ascii="Arial" w:hAnsi="Arial" w:cs="Arial"/>
          <w:sz w:val="22"/>
          <w:szCs w:val="22"/>
        </w:rPr>
      </w:pPr>
    </w:p>
    <w:p w:rsidR="00FA14F6" w:rsidRPr="00BA0154" w:rsidP="00FA14F6" w14:paraId="72B9E07B" w14:textId="77777777">
      <w:pPr>
        <w:tabs>
          <w:tab w:val="left" w:pos="-1080"/>
          <w:tab w:val="left" w:pos="-720"/>
          <w:tab w:val="left" w:pos="720"/>
        </w:tabs>
        <w:ind w:left="360" w:hanging="360"/>
        <w:rPr>
          <w:rFonts w:ascii="Arial" w:hAnsi="Arial" w:cs="Arial"/>
          <w:sz w:val="22"/>
          <w:szCs w:val="22"/>
        </w:rPr>
      </w:pPr>
      <w:r w:rsidRPr="00BA0154">
        <w:rPr>
          <w:rFonts w:ascii="Arial" w:hAnsi="Arial" w:cs="Arial"/>
          <w:b/>
          <w:bCs/>
          <w:sz w:val="22"/>
          <w:szCs w:val="22"/>
        </w:rPr>
        <w:t>Justification</w:t>
      </w:r>
    </w:p>
    <w:p w:rsidR="00FA14F6" w:rsidRPr="00BA0154" w:rsidP="00FA14F6" w14:paraId="5FE5B748" w14:textId="77777777">
      <w:pPr>
        <w:tabs>
          <w:tab w:val="left" w:pos="-1080"/>
          <w:tab w:val="left" w:pos="-720"/>
          <w:tab w:val="left" w:pos="720"/>
        </w:tabs>
        <w:rPr>
          <w:rFonts w:ascii="Arial" w:hAnsi="Arial" w:cs="Arial"/>
          <w:sz w:val="22"/>
          <w:szCs w:val="22"/>
        </w:rPr>
      </w:pPr>
    </w:p>
    <w:p w:rsidR="00FA14F6" w:rsidRPr="00BA0154" w:rsidP="00FA14F6" w14:paraId="0AB534E1" w14:textId="77777777">
      <w:pPr>
        <w:tabs>
          <w:tab w:val="left" w:pos="-1080"/>
          <w:tab w:val="left" w:pos="-720"/>
          <w:tab w:val="left" w:pos="360"/>
          <w:tab w:val="left" w:pos="720"/>
        </w:tabs>
        <w:rPr>
          <w:rFonts w:ascii="Arial" w:hAnsi="Arial" w:cs="Arial"/>
          <w:b/>
          <w:sz w:val="22"/>
          <w:szCs w:val="22"/>
        </w:rPr>
      </w:pPr>
      <w:r w:rsidRPr="00BA0154">
        <w:rPr>
          <w:rFonts w:ascii="Arial" w:hAnsi="Arial" w:cs="Arial"/>
          <w:b/>
          <w:sz w:val="22"/>
          <w:szCs w:val="22"/>
        </w:rPr>
        <w:t>1.</w:t>
      </w:r>
      <w:r w:rsidRPr="00BA0154">
        <w:rPr>
          <w:rFonts w:ascii="Arial" w:hAnsi="Arial" w:cs="Arial"/>
          <w:b/>
          <w:sz w:val="22"/>
          <w:szCs w:val="22"/>
        </w:rPr>
        <w:tab/>
        <w:t>Explain the circumstances that make the collection of information necessary.  Identify any legal or administrative requirements that necessitate the collection.</w:t>
      </w:r>
    </w:p>
    <w:p w:rsidR="709F5254" w:rsidRPr="00BA0154" w:rsidP="709F5254" w14:paraId="5559CF3E" w14:textId="48B69E72">
      <w:pPr>
        <w:tabs>
          <w:tab w:val="left" w:pos="360"/>
          <w:tab w:val="left" w:pos="720"/>
        </w:tabs>
        <w:rPr>
          <w:rFonts w:ascii="Arial" w:hAnsi="Arial" w:cs="Arial"/>
          <w:sz w:val="22"/>
          <w:szCs w:val="22"/>
        </w:rPr>
      </w:pPr>
    </w:p>
    <w:p w:rsidR="2AC2F53C" w:rsidRPr="00BA0154" w:rsidP="709F5254" w14:paraId="58D166FC" w14:textId="064A742B">
      <w:pPr>
        <w:rPr>
          <w:rFonts w:ascii="Arial" w:hAnsi="Arial" w:cs="Arial"/>
          <w:color w:val="000000" w:themeColor="text1"/>
          <w:sz w:val="22"/>
          <w:szCs w:val="22"/>
        </w:rPr>
      </w:pPr>
      <w:r w:rsidRPr="00BA0154">
        <w:rPr>
          <w:rFonts w:ascii="Arial" w:hAnsi="Arial" w:cs="Arial"/>
          <w:color w:val="000000" w:themeColor="text1"/>
          <w:sz w:val="22"/>
          <w:szCs w:val="22"/>
        </w:rPr>
        <w:t xml:space="preserve">The U.S. Geological Survey (USGS) Water Resources Research Act (WRRA) program issues an annual announcement to solicit applications for the noncompetitive State Water Resources Research Program annual grants authorized by section 104(c) and for the national competitive grant program authorized by section 104(g) of the Water Resources Research Act of 1984 (P.L. 98-242), as amended [42 USC 10303(c)].  </w:t>
      </w:r>
    </w:p>
    <w:p w:rsidR="709F5254" w:rsidRPr="00BA0154" w:rsidP="709F5254" w14:paraId="6B2BCD79" w14:textId="064A574B">
      <w:pPr>
        <w:ind w:left="720" w:hanging="720"/>
        <w:rPr>
          <w:rFonts w:ascii="Arial" w:hAnsi="Arial" w:cs="Arial"/>
          <w:color w:val="000000" w:themeColor="text1"/>
          <w:sz w:val="22"/>
          <w:szCs w:val="22"/>
        </w:rPr>
      </w:pPr>
    </w:p>
    <w:p w:rsidR="2AC2F53C" w:rsidRPr="00BA0154" w:rsidP="709F5254" w14:paraId="5AD4559E" w14:textId="29AD5CDC">
      <w:pPr>
        <w:rPr>
          <w:rFonts w:ascii="Arial" w:hAnsi="Arial" w:cs="Arial"/>
          <w:color w:val="000000" w:themeColor="text1"/>
          <w:sz w:val="22"/>
          <w:szCs w:val="22"/>
        </w:rPr>
      </w:pPr>
      <w:r w:rsidRPr="00BA0154">
        <w:rPr>
          <w:rFonts w:ascii="Arial" w:hAnsi="Arial" w:cs="Arial"/>
          <w:color w:val="000000" w:themeColor="text1"/>
          <w:sz w:val="22"/>
          <w:szCs w:val="22"/>
        </w:rPr>
        <w:t xml:space="preserve">Annual grants (104c) may contain research and information transfer projects as well as an administration project describing the institutes overall administration and objectives.  The research projects are generally selected in a competitive statewide solicitation, peer review, and selection process designed and conducted by each institute. National competitive grants (104g) will focus on water problems and issues of a regional or interstate nature beyond those of concern only to a single State and which relate to specific program priorities identified jointly by the Secretary (of the Interior) and the institutes. </w:t>
      </w:r>
    </w:p>
    <w:p w:rsidR="709F5254" w:rsidRPr="00BA0154" w:rsidP="709F5254" w14:paraId="2F309245" w14:textId="182376A0">
      <w:pPr>
        <w:rPr>
          <w:rFonts w:ascii="Arial" w:hAnsi="Arial" w:cs="Arial"/>
          <w:color w:val="000000" w:themeColor="text1"/>
          <w:sz w:val="22"/>
          <w:szCs w:val="22"/>
        </w:rPr>
      </w:pPr>
    </w:p>
    <w:p w:rsidR="2AC2F53C" w:rsidRPr="00BA0154" w:rsidP="709F5254" w14:paraId="78372CF5" w14:textId="78E2170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BA0154">
        <w:rPr>
          <w:rFonts w:ascii="Arial" w:hAnsi="Arial" w:cs="Arial"/>
          <w:color w:val="000000" w:themeColor="text1"/>
          <w:sz w:val="22"/>
          <w:szCs w:val="22"/>
        </w:rPr>
        <w:t>The State Water Resources Research Institutes were established under Section 104(a) of the Act [42 USC 10303(a)].  There are 54 Water Resources Research Institutes, one in each state, the District of Columbia, Puerto Rico, the U.S. Virgin Islands, and Guam.  The Institutes are organized as the National Institutes for Water Resources (NIWR).  NIWR cooperates with the USGS in establishing total programmatic direction, reporting on the activities of the institutes, coordinating and facilitating regional research and information and technology transfer.</w:t>
      </w:r>
    </w:p>
    <w:p w:rsidR="709F5254" w:rsidRPr="00BA0154" w:rsidP="709F5254" w14:paraId="40B22963" w14:textId="60628D05">
      <w:pPr>
        <w:tabs>
          <w:tab w:val="left" w:pos="360"/>
          <w:tab w:val="left" w:pos="720"/>
        </w:tabs>
        <w:rPr>
          <w:rFonts w:ascii="Arial" w:hAnsi="Arial" w:cs="Arial"/>
          <w:color w:val="282828"/>
          <w:sz w:val="22"/>
          <w:szCs w:val="22"/>
        </w:rPr>
      </w:pPr>
    </w:p>
    <w:p w:rsidR="00FA14F6" w:rsidRPr="00BA0154" w:rsidP="00FA14F6" w14:paraId="2EC33BC3" w14:textId="77777777">
      <w:pPr>
        <w:tabs>
          <w:tab w:val="left" w:pos="-1080"/>
          <w:tab w:val="left" w:pos="-720"/>
          <w:tab w:val="left" w:pos="360"/>
          <w:tab w:val="left" w:pos="720"/>
        </w:tabs>
        <w:rPr>
          <w:rFonts w:ascii="Arial" w:hAnsi="Arial" w:cs="Arial"/>
          <w:sz w:val="22"/>
          <w:szCs w:val="22"/>
        </w:rPr>
      </w:pPr>
    </w:p>
    <w:p w:rsidR="00FA14F6" w:rsidRPr="00BA0154" w:rsidP="00FA14F6" w14:paraId="12D86C41" w14:textId="77777777">
      <w:pPr>
        <w:tabs>
          <w:tab w:val="left" w:pos="-1080"/>
          <w:tab w:val="left" w:pos="-720"/>
          <w:tab w:val="left" w:pos="360"/>
          <w:tab w:val="left" w:pos="720"/>
        </w:tabs>
        <w:rPr>
          <w:rFonts w:ascii="Arial" w:hAnsi="Arial" w:cs="Arial"/>
          <w:b/>
          <w:sz w:val="22"/>
          <w:szCs w:val="22"/>
        </w:rPr>
      </w:pPr>
      <w:r w:rsidRPr="00BA0154">
        <w:rPr>
          <w:rFonts w:ascii="Arial" w:hAnsi="Arial" w:cs="Arial"/>
          <w:b/>
          <w:sz w:val="22"/>
          <w:szCs w:val="22"/>
        </w:rPr>
        <w:t>2.</w:t>
      </w:r>
      <w:r w:rsidRPr="00BA015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BA0154" w:rsidP="00FA14F6" w14:paraId="13BDA6DF" w14:textId="77777777">
      <w:pPr>
        <w:tabs>
          <w:tab w:val="left" w:pos="-1080"/>
          <w:tab w:val="left" w:pos="-720"/>
          <w:tab w:val="left" w:pos="360"/>
          <w:tab w:val="left" w:pos="720"/>
        </w:tabs>
        <w:rPr>
          <w:rFonts w:ascii="Arial" w:hAnsi="Arial" w:cs="Arial"/>
          <w:sz w:val="22"/>
          <w:szCs w:val="22"/>
        </w:rPr>
      </w:pPr>
    </w:p>
    <w:p w:rsidR="00FA14F6" w:rsidRPr="00BA0154" w:rsidP="709F5254" w14:paraId="664E64C2" w14:textId="441ADAB0">
      <w:pPr>
        <w:rPr>
          <w:rFonts w:ascii="Arial" w:hAnsi="Arial" w:cs="Arial"/>
          <w:color w:val="000000" w:themeColor="text1"/>
          <w:sz w:val="22"/>
          <w:szCs w:val="22"/>
        </w:rPr>
      </w:pPr>
    </w:p>
    <w:p w:rsidR="00FA14F6" w:rsidRPr="00BA0154" w:rsidP="709F5254" w14:paraId="61ADA7A6" w14:textId="649BBAC3">
      <w:pPr>
        <w:rPr>
          <w:rFonts w:ascii="Arial" w:hAnsi="Arial" w:cs="Arial"/>
          <w:color w:val="000000" w:themeColor="text1"/>
          <w:sz w:val="22"/>
          <w:szCs w:val="22"/>
        </w:rPr>
      </w:pPr>
      <w:r w:rsidRPr="00BA0154">
        <w:rPr>
          <w:rFonts w:ascii="Arial" w:hAnsi="Arial" w:cs="Arial"/>
          <w:color w:val="000000" w:themeColor="text1"/>
          <w:sz w:val="22"/>
          <w:szCs w:val="22"/>
        </w:rPr>
        <w:t xml:space="preserve">The USGS WRRA Program will use the information from this collection to ensure that sufficient and relevant information is available to evaluate the annual applications and will use the information from this collection to ensure that sufficient and relevant information is available to evaluate and select the proposals to be funded under the national competitive grant program.  </w:t>
      </w:r>
    </w:p>
    <w:p w:rsidR="00FA14F6" w:rsidRPr="00BA0154" w:rsidP="709F5254" w14:paraId="679A5F2D" w14:textId="081B53A1">
      <w:pPr>
        <w:rPr>
          <w:rFonts w:ascii="Arial" w:hAnsi="Arial" w:cs="Arial"/>
          <w:color w:val="000000" w:themeColor="text1"/>
          <w:sz w:val="22"/>
          <w:szCs w:val="22"/>
        </w:rPr>
      </w:pPr>
    </w:p>
    <w:p w:rsidR="00FA14F6" w:rsidRPr="00BA0154" w:rsidP="709F5254" w14:paraId="1B42AB6F" w14:textId="5BA9BDD0">
      <w:pPr>
        <w:rPr>
          <w:rFonts w:ascii="Arial" w:hAnsi="Arial" w:cs="Arial"/>
          <w:color w:val="000000" w:themeColor="text1"/>
          <w:sz w:val="22"/>
          <w:szCs w:val="22"/>
        </w:rPr>
      </w:pPr>
      <w:r w:rsidRPr="00BA0154">
        <w:rPr>
          <w:rFonts w:ascii="Arial" w:hAnsi="Arial" w:cs="Arial"/>
          <w:color w:val="000000" w:themeColor="text1"/>
          <w:sz w:val="22"/>
          <w:szCs w:val="22"/>
        </w:rPr>
        <w:t xml:space="preserve">The USGS WRRA Program will use Standard Forms 424 (Application for Federal Assistance); </w:t>
      </w:r>
      <w:r w:rsidRPr="00BA0154">
        <w:rPr>
          <w:rFonts w:ascii="Arial" w:hAnsi="Arial" w:cs="Arial"/>
          <w:color w:val="000000" w:themeColor="text1"/>
          <w:sz w:val="22"/>
          <w:szCs w:val="22"/>
        </w:rPr>
        <w:t xml:space="preserve">424A, (Budget Information, Non-Construction Programs); and 424B (Assurances, Non-Construction Programs). </w:t>
      </w:r>
    </w:p>
    <w:p w:rsidR="00FA14F6" w:rsidRPr="00BA0154" w:rsidP="709F5254" w14:paraId="1BBD456D" w14:textId="44851E73">
      <w:pPr>
        <w:rPr>
          <w:rFonts w:ascii="Arial" w:hAnsi="Arial" w:cs="Arial"/>
          <w:color w:val="000000" w:themeColor="text1"/>
          <w:sz w:val="22"/>
          <w:szCs w:val="22"/>
        </w:rPr>
      </w:pPr>
    </w:p>
    <w:p w:rsidR="00FA14F6" w:rsidRPr="00BA0154" w:rsidP="709F5254" w14:paraId="47522DAB" w14:textId="3ACF02AC">
      <w:pPr>
        <w:rPr>
          <w:rFonts w:ascii="Arial" w:hAnsi="Arial" w:cs="Arial"/>
          <w:color w:val="000000" w:themeColor="text1"/>
          <w:sz w:val="22"/>
          <w:szCs w:val="22"/>
        </w:rPr>
      </w:pPr>
      <w:r w:rsidRPr="00BA0154">
        <w:rPr>
          <w:rFonts w:ascii="Arial" w:hAnsi="Arial" w:cs="Arial"/>
          <w:color w:val="000000" w:themeColor="text1"/>
          <w:sz w:val="22"/>
          <w:szCs w:val="22"/>
        </w:rPr>
        <w:t>We also collect the following information as part of each application:</w:t>
      </w:r>
    </w:p>
    <w:p w:rsidR="00FA14F6" w:rsidRPr="00BA0154" w:rsidP="709F5254" w14:paraId="7D07AC6F" w14:textId="2CAAAA7B">
      <w:pPr>
        <w:rPr>
          <w:rFonts w:ascii="Arial" w:hAnsi="Arial" w:cs="Arial"/>
          <w:color w:val="000000" w:themeColor="text1"/>
          <w:sz w:val="22"/>
          <w:szCs w:val="22"/>
        </w:rPr>
      </w:pPr>
    </w:p>
    <w:p w:rsidR="00FA14F6" w:rsidRPr="00BA0154" w:rsidP="709F5254" w14:paraId="73F14F81" w14:textId="05D48A6B">
      <w:pPr>
        <w:pStyle w:val="ListParagraph"/>
        <w:widowControl/>
        <w:numPr>
          <w:ilvl w:val="0"/>
          <w:numId w:val="1"/>
        </w:numPr>
        <w:rPr>
          <w:color w:val="000000" w:themeColor="text1"/>
        </w:rPr>
      </w:pPr>
      <w:r w:rsidRPr="00BA0154">
        <w:rPr>
          <w:color w:val="000000" w:themeColor="text1"/>
        </w:rPr>
        <w:t>Project narratives (including abstracts), which includes a statement of the problem to be addressed, scope and objectives of the proposed project, anticipated results and benefits of the proposed project, a description of the methods and procedures to be used, description of completed and ongoing related projects, training potential of the project, a plan for dissemination of the project results, and a description of the qualifications of the principal investigators on the project.</w:t>
      </w:r>
    </w:p>
    <w:p w:rsidR="00FA14F6" w:rsidRPr="00BA0154" w:rsidP="709F5254" w14:paraId="2F9873E9" w14:textId="30AC63B6">
      <w:pPr>
        <w:rPr>
          <w:rFonts w:ascii="Arial" w:hAnsi="Arial" w:cs="Arial"/>
          <w:color w:val="000000" w:themeColor="text1"/>
          <w:sz w:val="22"/>
          <w:szCs w:val="22"/>
        </w:rPr>
      </w:pPr>
    </w:p>
    <w:p w:rsidR="00FA14F6" w:rsidRPr="00BA0154" w:rsidP="709F5254" w14:paraId="40B78389" w14:textId="75B09D5A">
      <w:pPr>
        <w:pStyle w:val="ListParagraph"/>
        <w:widowControl/>
        <w:numPr>
          <w:ilvl w:val="0"/>
          <w:numId w:val="1"/>
        </w:numPr>
        <w:rPr>
          <w:color w:val="000000" w:themeColor="text1"/>
        </w:rPr>
      </w:pPr>
      <w:r w:rsidRPr="00BA0154">
        <w:rPr>
          <w:color w:val="000000" w:themeColor="text1"/>
        </w:rPr>
        <w:t>A proposed budget breakdown and budget justification for each project providing detailed information concerning how the funds will be utilized.</w:t>
      </w:r>
    </w:p>
    <w:p w:rsidR="00FA14F6" w:rsidRPr="00BA0154" w:rsidP="709F5254" w14:paraId="44261828" w14:textId="1A502FE0">
      <w:pPr>
        <w:widowControl/>
        <w:rPr>
          <w:rFonts w:ascii="Arial" w:hAnsi="Arial" w:cs="Arial"/>
          <w:color w:val="000000" w:themeColor="text1"/>
          <w:sz w:val="22"/>
          <w:szCs w:val="22"/>
        </w:rPr>
      </w:pPr>
    </w:p>
    <w:p w:rsidR="00FA14F6" w:rsidRPr="00BA0154" w:rsidP="709F5254" w14:paraId="255EFEC7" w14:textId="0A2C73A8">
      <w:pPr>
        <w:pStyle w:val="ListParagraph"/>
        <w:numPr>
          <w:ilvl w:val="0"/>
          <w:numId w:val="1"/>
        </w:num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BA0154">
        <w:rPr>
          <w:color w:val="000000" w:themeColor="text1"/>
        </w:rPr>
        <w:t>Letters of commitment of matching funds.  An institutional cost sharing agreement (letter or letters) committing the applicant to all or part of the required matching shares.</w:t>
      </w:r>
    </w:p>
    <w:p w:rsidR="00FA14F6" w:rsidRPr="00BA0154" w:rsidP="709F5254" w14:paraId="4F3D0B2A" w14:textId="5A95234B">
      <w:pPr>
        <w:widowControl/>
        <w:rPr>
          <w:rFonts w:ascii="Arial" w:hAnsi="Arial" w:cs="Arial"/>
          <w:color w:val="000000" w:themeColor="text1"/>
          <w:sz w:val="22"/>
          <w:szCs w:val="22"/>
        </w:rPr>
      </w:pPr>
    </w:p>
    <w:p w:rsidR="00FA14F6" w:rsidRPr="00BA0154" w:rsidP="709F5254" w14:paraId="78493541" w14:textId="0B289B0E">
      <w:pPr>
        <w:widowControl/>
        <w:rPr>
          <w:rFonts w:ascii="Arial" w:hAnsi="Arial" w:cs="Arial"/>
          <w:color w:val="000000" w:themeColor="text1"/>
          <w:sz w:val="22"/>
          <w:szCs w:val="22"/>
        </w:rPr>
      </w:pPr>
      <w:r w:rsidRPr="00BA0154">
        <w:rPr>
          <w:rFonts w:ascii="Arial" w:hAnsi="Arial" w:cs="Arial"/>
          <w:color w:val="000000" w:themeColor="text1"/>
          <w:sz w:val="22"/>
          <w:szCs w:val="22"/>
        </w:rPr>
        <w:t>For monitoring purposes, submission of an annual completion report for the annual applications and national competitive grants is also required.</w:t>
      </w:r>
    </w:p>
    <w:p w:rsidR="003C4A8B" w:rsidRPr="00BA0154" w:rsidP="709F5254" w14:paraId="596AA0F8" w14:textId="77777777">
      <w:pPr>
        <w:widowControl/>
        <w:rPr>
          <w:rFonts w:ascii="Arial" w:hAnsi="Arial" w:cs="Arial"/>
          <w:color w:val="000000" w:themeColor="text1"/>
          <w:sz w:val="22"/>
          <w:szCs w:val="22"/>
        </w:rPr>
      </w:pPr>
    </w:p>
    <w:p w:rsidR="003C4A8B" w:rsidRPr="00BA0154" w:rsidP="709F5254" w14:paraId="52EE9A48" w14:textId="1C49E1DD">
      <w:pPr>
        <w:widowControl/>
        <w:rPr>
          <w:rFonts w:ascii="Arial" w:hAnsi="Arial" w:cs="Arial"/>
          <w:color w:val="000000" w:themeColor="text1"/>
          <w:sz w:val="22"/>
          <w:szCs w:val="22"/>
        </w:rPr>
      </w:pPr>
      <w:r w:rsidRPr="00BA0154">
        <w:rPr>
          <w:rFonts w:ascii="Arial" w:hAnsi="Arial" w:cs="Arial"/>
          <w:color w:val="000000" w:themeColor="text1"/>
          <w:sz w:val="22"/>
          <w:szCs w:val="22"/>
        </w:rPr>
        <w:t>In addition, the Program will collect annual match verification data (federal vs. non-federal dollars) from each Institute as required by the Bipartisan Infrastructure Law (BIL) to confirm compliance with statutory matching requirements and report aggregate figures to DOI and Congress.</w:t>
      </w:r>
    </w:p>
    <w:p w:rsidR="00FA14F6" w:rsidRPr="00BA0154" w:rsidP="709F5254" w14:paraId="74D12863" w14:textId="11AB498F">
      <w:pPr>
        <w:tabs>
          <w:tab w:val="left" w:pos="360"/>
          <w:tab w:val="left" w:pos="720"/>
        </w:tabs>
        <w:rPr>
          <w:rFonts w:ascii="Arial" w:hAnsi="Arial" w:cs="Arial"/>
          <w:sz w:val="22"/>
          <w:szCs w:val="22"/>
        </w:rPr>
      </w:pPr>
    </w:p>
    <w:p w:rsidR="00FA14F6" w:rsidRPr="00BA0154" w:rsidP="00FA14F6" w14:paraId="73E1F4EC" w14:textId="77777777">
      <w:pPr>
        <w:tabs>
          <w:tab w:val="left" w:pos="-1080"/>
          <w:tab w:val="left" w:pos="-720"/>
          <w:tab w:val="left" w:pos="360"/>
          <w:tab w:val="left" w:pos="720"/>
        </w:tabs>
        <w:rPr>
          <w:rFonts w:ascii="Arial" w:hAnsi="Arial" w:cs="Arial"/>
          <w:sz w:val="22"/>
          <w:szCs w:val="22"/>
        </w:rPr>
      </w:pPr>
    </w:p>
    <w:p w:rsidR="00FA14F6" w:rsidRPr="00BA0154" w:rsidP="00FA14F6" w14:paraId="3E7DE517" w14:textId="77777777">
      <w:pPr>
        <w:tabs>
          <w:tab w:val="left" w:pos="-1080"/>
          <w:tab w:val="left" w:pos="-720"/>
          <w:tab w:val="left" w:pos="360"/>
          <w:tab w:val="left" w:pos="720"/>
        </w:tabs>
        <w:rPr>
          <w:rFonts w:ascii="Arial" w:hAnsi="Arial" w:cs="Arial"/>
          <w:b/>
          <w:sz w:val="22"/>
          <w:szCs w:val="22"/>
        </w:rPr>
      </w:pPr>
      <w:r w:rsidRPr="00BA0154">
        <w:rPr>
          <w:rFonts w:ascii="Arial" w:hAnsi="Arial" w:cs="Arial"/>
          <w:b/>
          <w:sz w:val="22"/>
          <w:szCs w:val="22"/>
        </w:rPr>
        <w:t>3.</w:t>
      </w:r>
      <w:r w:rsidRPr="00BA015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BA0154" w:rsidP="709F5254" w14:paraId="3A46FDB5" w14:textId="0A7D929A">
      <w:pPr>
        <w:tabs>
          <w:tab w:val="left" w:pos="360"/>
          <w:tab w:val="left" w:pos="720"/>
        </w:tabs>
        <w:rPr>
          <w:rFonts w:ascii="Arial" w:hAnsi="Arial" w:cs="Arial"/>
          <w:sz w:val="22"/>
          <w:szCs w:val="22"/>
        </w:rPr>
      </w:pPr>
    </w:p>
    <w:p w:rsidR="3F46FD36" w:rsidRPr="00BA0154" w:rsidP="709F5254" w14:paraId="781F3013" w14:textId="50954E56">
      <w:pPr>
        <w:tabs>
          <w:tab w:val="left" w:pos="360"/>
          <w:tab w:val="left" w:pos="720"/>
        </w:tabs>
        <w:rPr>
          <w:rFonts w:ascii="Arial" w:hAnsi="Arial" w:cs="Arial"/>
          <w:sz w:val="22"/>
          <w:szCs w:val="22"/>
        </w:rPr>
      </w:pPr>
      <w:r w:rsidRPr="00BA0154">
        <w:rPr>
          <w:rFonts w:ascii="Arial" w:hAnsi="Arial" w:cs="Arial"/>
          <w:color w:val="000000" w:themeColor="text1"/>
          <w:sz w:val="22"/>
          <w:szCs w:val="22"/>
        </w:rPr>
        <w:t>Annual and national competitive grant applicants are required to submit their entire application, including project narratives, budget breakdowns, budget justifications, and letters of commitment of matching funds through the website at https://www.grants.gov.  National competitive grant applications must also submit their SF 424, 424a and 424b via the website at http://www.grants.gov after approval by the Institute. Progress and completion reports for the projects are also submitted and managed by the WRRA program Office.  The proposal submission and reporting process is entirely paperless.</w:t>
      </w:r>
    </w:p>
    <w:p w:rsidR="00FA14F6" w:rsidRPr="00BA0154" w:rsidP="00FA14F6" w14:paraId="54B61AC8" w14:textId="77777777">
      <w:pPr>
        <w:tabs>
          <w:tab w:val="left" w:pos="-1080"/>
          <w:tab w:val="left" w:pos="-720"/>
          <w:tab w:val="left" w:pos="360"/>
          <w:tab w:val="left" w:pos="720"/>
        </w:tabs>
        <w:rPr>
          <w:rFonts w:ascii="Arial" w:hAnsi="Arial" w:cs="Arial"/>
          <w:sz w:val="22"/>
          <w:szCs w:val="22"/>
        </w:rPr>
      </w:pPr>
    </w:p>
    <w:p w:rsidR="00FA14F6" w:rsidRPr="00BA0154" w:rsidP="00FA14F6" w14:paraId="692E3FB3" w14:textId="77777777">
      <w:pPr>
        <w:tabs>
          <w:tab w:val="left" w:pos="-1080"/>
          <w:tab w:val="left" w:pos="-720"/>
          <w:tab w:val="left" w:pos="360"/>
          <w:tab w:val="left" w:pos="720"/>
        </w:tabs>
        <w:rPr>
          <w:rFonts w:ascii="Arial" w:hAnsi="Arial" w:cs="Arial"/>
          <w:b/>
          <w:sz w:val="22"/>
          <w:szCs w:val="22"/>
        </w:rPr>
      </w:pPr>
      <w:r w:rsidRPr="00BA0154">
        <w:rPr>
          <w:rFonts w:ascii="Arial" w:hAnsi="Arial" w:cs="Arial"/>
          <w:b/>
          <w:sz w:val="22"/>
          <w:szCs w:val="22"/>
        </w:rPr>
        <w:t>4.</w:t>
      </w:r>
      <w:r w:rsidRPr="00BA015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A14F6" w:rsidRPr="00BA0154" w:rsidP="709F5254" w14:paraId="17E09E97" w14:textId="0541E610">
      <w:pPr>
        <w:tabs>
          <w:tab w:val="left" w:pos="360"/>
          <w:tab w:val="left" w:pos="720"/>
        </w:tabs>
        <w:rPr>
          <w:rFonts w:ascii="Arial" w:hAnsi="Arial" w:cs="Arial"/>
          <w:sz w:val="22"/>
          <w:szCs w:val="22"/>
        </w:rPr>
      </w:pPr>
    </w:p>
    <w:p w:rsidR="00FA14F6" w:rsidRPr="00BA0154" w:rsidP="00FA14F6" w14:paraId="1F30BD1B" w14:textId="77777777">
      <w:pPr>
        <w:tabs>
          <w:tab w:val="left" w:pos="-1080"/>
          <w:tab w:val="left" w:pos="-720"/>
          <w:tab w:val="left" w:pos="360"/>
          <w:tab w:val="left" w:pos="720"/>
        </w:tabs>
        <w:rPr>
          <w:rFonts w:ascii="Arial" w:hAnsi="Arial" w:cs="Arial"/>
          <w:sz w:val="22"/>
          <w:szCs w:val="22"/>
        </w:rPr>
      </w:pPr>
    </w:p>
    <w:p w:rsidR="00FA14F6" w:rsidRPr="00BA0154" w:rsidP="709F5254" w14:paraId="2BD37BC4" w14:textId="78B5B9AC">
      <w:pPr>
        <w:tabs>
          <w:tab w:val="left" w:pos="360"/>
          <w:tab w:val="left" w:pos="720"/>
        </w:tabs>
        <w:rPr>
          <w:rFonts w:ascii="Arial" w:hAnsi="Arial" w:cs="Arial"/>
          <w:sz w:val="22"/>
          <w:szCs w:val="22"/>
        </w:rPr>
      </w:pPr>
      <w:r w:rsidRPr="00BA0154">
        <w:rPr>
          <w:rFonts w:ascii="Arial" w:hAnsi="Arial" w:cs="Arial"/>
          <w:sz w:val="22"/>
          <w:szCs w:val="22"/>
        </w:rPr>
        <w:t>T</w:t>
      </w:r>
      <w:r w:rsidRPr="00BA0154">
        <w:rPr>
          <w:rFonts w:ascii="Arial" w:hAnsi="Arial" w:cs="Arial"/>
          <w:sz w:val="22"/>
          <w:szCs w:val="22"/>
        </w:rPr>
        <w:t>here is no duplication.  The information requested is site/activity specific and is not otherwise available in the agency.</w:t>
      </w:r>
    </w:p>
    <w:p w:rsidR="00FA14F6" w:rsidRPr="00BA0154" w:rsidP="00FA14F6" w14:paraId="6B3FE890" w14:textId="77777777">
      <w:pPr>
        <w:tabs>
          <w:tab w:val="left" w:pos="-1080"/>
          <w:tab w:val="left" w:pos="-720"/>
          <w:tab w:val="left" w:pos="360"/>
          <w:tab w:val="left" w:pos="720"/>
        </w:tabs>
        <w:rPr>
          <w:rFonts w:ascii="Arial" w:hAnsi="Arial" w:cs="Arial"/>
          <w:sz w:val="22"/>
          <w:szCs w:val="22"/>
        </w:rPr>
      </w:pPr>
    </w:p>
    <w:p w:rsidR="00FA14F6" w:rsidRPr="00BA0154" w:rsidP="00FA14F6" w14:paraId="0DC9DEC4" w14:textId="77777777">
      <w:pPr>
        <w:tabs>
          <w:tab w:val="left" w:pos="-1080"/>
          <w:tab w:val="left" w:pos="-720"/>
          <w:tab w:val="left" w:pos="360"/>
          <w:tab w:val="left" w:pos="720"/>
        </w:tabs>
        <w:rPr>
          <w:rFonts w:ascii="Arial" w:hAnsi="Arial" w:cs="Arial"/>
          <w:b/>
          <w:sz w:val="22"/>
          <w:szCs w:val="22"/>
        </w:rPr>
      </w:pPr>
      <w:r w:rsidRPr="00BA0154">
        <w:rPr>
          <w:rFonts w:ascii="Arial" w:hAnsi="Arial" w:cs="Arial"/>
          <w:b/>
          <w:sz w:val="22"/>
          <w:szCs w:val="22"/>
        </w:rPr>
        <w:t>5.</w:t>
      </w:r>
      <w:r w:rsidRPr="00BA0154">
        <w:rPr>
          <w:rFonts w:ascii="Arial" w:hAnsi="Arial" w:cs="Arial"/>
          <w:b/>
          <w:sz w:val="22"/>
          <w:szCs w:val="22"/>
        </w:rPr>
        <w:tab/>
        <w:t>If the collection of information impacts small businesses or other small entities, describe any methods used to minimize burden.</w:t>
      </w:r>
    </w:p>
    <w:p w:rsidR="00FA14F6" w:rsidRPr="00BA0154" w:rsidP="709F5254" w14:paraId="11697A28" w14:textId="53AF12DB">
      <w:pPr>
        <w:tabs>
          <w:tab w:val="left" w:pos="360"/>
          <w:tab w:val="left" w:pos="720"/>
        </w:tabs>
        <w:rPr>
          <w:rFonts w:ascii="Arial" w:hAnsi="Arial" w:cs="Arial"/>
          <w:sz w:val="22"/>
          <w:szCs w:val="22"/>
        </w:rPr>
      </w:pPr>
    </w:p>
    <w:p w:rsidR="00FA14F6" w:rsidRPr="00BA0154" w:rsidP="709F5254" w14:paraId="167FFFBD" w14:textId="4C7F53F3">
      <w:pPr>
        <w:tabs>
          <w:tab w:val="left" w:pos="360"/>
          <w:tab w:val="left" w:pos="720"/>
        </w:tabs>
        <w:rPr>
          <w:rFonts w:ascii="Arial" w:hAnsi="Arial" w:cs="Arial"/>
          <w:sz w:val="22"/>
          <w:szCs w:val="22"/>
        </w:rPr>
      </w:pPr>
      <w:r w:rsidRPr="00BA0154">
        <w:rPr>
          <w:rFonts w:ascii="Arial" w:hAnsi="Arial" w:cs="Arial"/>
          <w:sz w:val="22"/>
          <w:szCs w:val="22"/>
        </w:rPr>
        <w:t>This information collection does not impact small businesses or other small entities.</w:t>
      </w:r>
    </w:p>
    <w:p w:rsidR="00FA14F6" w:rsidRPr="00BA0154" w:rsidP="709F5254" w14:paraId="73770414" w14:textId="29AC718A">
      <w:pPr>
        <w:tabs>
          <w:tab w:val="left" w:pos="360"/>
          <w:tab w:val="left" w:pos="720"/>
        </w:tabs>
        <w:rPr>
          <w:rFonts w:ascii="Arial" w:hAnsi="Arial" w:cs="Arial"/>
          <w:sz w:val="22"/>
          <w:szCs w:val="22"/>
        </w:rPr>
      </w:pPr>
    </w:p>
    <w:p w:rsidR="00FA14F6" w:rsidRPr="00BA0154" w:rsidP="00FA14F6" w14:paraId="37E46E60" w14:textId="77777777">
      <w:pPr>
        <w:tabs>
          <w:tab w:val="left" w:pos="-1080"/>
          <w:tab w:val="left" w:pos="-720"/>
          <w:tab w:val="left" w:pos="360"/>
          <w:tab w:val="left" w:pos="720"/>
        </w:tabs>
        <w:rPr>
          <w:rFonts w:ascii="Arial" w:hAnsi="Arial" w:cs="Arial"/>
          <w:b/>
          <w:sz w:val="22"/>
          <w:szCs w:val="22"/>
        </w:rPr>
      </w:pPr>
      <w:r w:rsidRPr="00BA0154">
        <w:rPr>
          <w:rFonts w:ascii="Arial" w:hAnsi="Arial" w:cs="Arial"/>
          <w:b/>
          <w:sz w:val="22"/>
          <w:szCs w:val="22"/>
        </w:rPr>
        <w:t>6.</w:t>
      </w:r>
      <w:r w:rsidRPr="00BA015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FA14F6" w:rsidRPr="00BA0154" w:rsidP="709F5254" w14:paraId="41C2590C" w14:textId="1E0B5574">
      <w:pPr>
        <w:tabs>
          <w:tab w:val="left" w:pos="360"/>
          <w:tab w:val="left" w:pos="720"/>
        </w:tabs>
        <w:rPr>
          <w:rFonts w:ascii="Arial" w:hAnsi="Arial" w:cs="Arial"/>
          <w:sz w:val="22"/>
          <w:szCs w:val="22"/>
        </w:rPr>
      </w:pPr>
    </w:p>
    <w:p w:rsidR="00FA14F6" w:rsidRPr="00BA0154" w:rsidP="709F5254" w14:paraId="0DDD2CAC" w14:textId="5C433BA8">
      <w:pPr>
        <w:rPr>
          <w:rFonts w:ascii="Arial" w:eastAsia="Arial" w:hAnsi="Arial" w:cs="Arial"/>
          <w:sz w:val="22"/>
          <w:szCs w:val="22"/>
        </w:rPr>
      </w:pPr>
      <w:r w:rsidRPr="00BA0154">
        <w:rPr>
          <w:rFonts w:ascii="Arial" w:hAnsi="Arial" w:cs="Arial"/>
          <w:color w:val="000000" w:themeColor="text1"/>
          <w:sz w:val="22"/>
          <w:szCs w:val="22"/>
        </w:rPr>
        <w:t>The purpose of the collection is to solicit, review adequately, and award grants annually on the basis of technical merit, as required by the Water Resources Research Act.  The university-based research and information transfer program authorized by the Water Resources Research Act of 1984 would likely not be of as high merit and quality if the information were not collected or collected less frequently.  Ultimately, the state of water science, training of professionals, and water management would be degraded.</w:t>
      </w:r>
    </w:p>
    <w:p w:rsidR="00FA14F6" w:rsidRPr="00BA0154" w:rsidP="709F5254" w14:paraId="1FAE0CD5" w14:textId="6DCEA71B">
      <w:pPr>
        <w:tabs>
          <w:tab w:val="left" w:pos="360"/>
          <w:tab w:val="left" w:pos="720"/>
        </w:tabs>
        <w:rPr>
          <w:rFonts w:ascii="Arial" w:hAnsi="Arial" w:cs="Arial"/>
          <w:sz w:val="22"/>
          <w:szCs w:val="22"/>
        </w:rPr>
      </w:pPr>
    </w:p>
    <w:p w:rsidR="00FA14F6" w:rsidRPr="00BA0154" w:rsidP="00FA14F6" w14:paraId="732F075D" w14:textId="77777777">
      <w:pPr>
        <w:tabs>
          <w:tab w:val="left" w:pos="-1080"/>
          <w:tab w:val="left" w:pos="-720"/>
          <w:tab w:val="left" w:pos="360"/>
          <w:tab w:val="left" w:pos="720"/>
        </w:tabs>
        <w:rPr>
          <w:rFonts w:ascii="Arial" w:hAnsi="Arial" w:cs="Arial"/>
          <w:b/>
          <w:sz w:val="22"/>
          <w:szCs w:val="22"/>
        </w:rPr>
      </w:pPr>
      <w:r w:rsidRPr="00BA0154">
        <w:rPr>
          <w:rFonts w:ascii="Arial" w:hAnsi="Arial" w:cs="Arial"/>
          <w:b/>
          <w:sz w:val="22"/>
          <w:szCs w:val="22"/>
        </w:rPr>
        <w:t>7.</w:t>
      </w:r>
      <w:r w:rsidRPr="00BA0154">
        <w:rPr>
          <w:rFonts w:ascii="Arial" w:hAnsi="Arial" w:cs="Arial"/>
          <w:b/>
          <w:sz w:val="22"/>
          <w:szCs w:val="22"/>
        </w:rPr>
        <w:tab/>
        <w:t>Explain any special circumstances that would cause an information collection to be conducted in a manner:</w:t>
      </w:r>
    </w:p>
    <w:p w:rsidR="00FA14F6" w:rsidRPr="00BA0154" w:rsidP="00FA14F6" w14:paraId="6E3A7FA1" w14:textId="77777777">
      <w:pPr>
        <w:tabs>
          <w:tab w:val="left" w:pos="-1080"/>
          <w:tab w:val="left" w:pos="-720"/>
          <w:tab w:val="left" w:pos="360"/>
          <w:tab w:val="left" w:pos="720"/>
        </w:tabs>
        <w:ind w:left="720" w:hanging="720"/>
        <w:rPr>
          <w:rFonts w:ascii="Arial" w:hAnsi="Arial" w:cs="Arial"/>
          <w:b/>
          <w:sz w:val="22"/>
          <w:szCs w:val="22"/>
        </w:rPr>
      </w:pPr>
      <w:r w:rsidRPr="00BA0154">
        <w:rPr>
          <w:rFonts w:ascii="Arial" w:hAnsi="Arial" w:cs="Arial"/>
          <w:b/>
          <w:sz w:val="22"/>
          <w:szCs w:val="22"/>
        </w:rPr>
        <w:tab/>
        <w:t>*</w:t>
      </w:r>
      <w:r w:rsidRPr="00BA0154">
        <w:rPr>
          <w:rFonts w:ascii="Arial" w:hAnsi="Arial" w:cs="Arial"/>
          <w:b/>
          <w:sz w:val="22"/>
          <w:szCs w:val="22"/>
        </w:rPr>
        <w:tab/>
        <w:t>requiring respondents to report information to the agency more often than quarterly;</w:t>
      </w:r>
    </w:p>
    <w:p w:rsidR="00FA14F6" w:rsidRPr="00BA0154" w:rsidP="00FA14F6" w14:paraId="553F45A3" w14:textId="77777777">
      <w:pPr>
        <w:tabs>
          <w:tab w:val="left" w:pos="-1080"/>
          <w:tab w:val="left" w:pos="-720"/>
          <w:tab w:val="left" w:pos="360"/>
          <w:tab w:val="left" w:pos="720"/>
        </w:tabs>
        <w:ind w:left="720" w:hanging="720"/>
        <w:rPr>
          <w:rFonts w:ascii="Arial" w:hAnsi="Arial" w:cs="Arial"/>
          <w:b/>
          <w:sz w:val="22"/>
          <w:szCs w:val="22"/>
        </w:rPr>
      </w:pPr>
      <w:r w:rsidRPr="00BA0154">
        <w:rPr>
          <w:rFonts w:ascii="Arial" w:hAnsi="Arial" w:cs="Arial"/>
          <w:b/>
          <w:sz w:val="22"/>
          <w:szCs w:val="22"/>
        </w:rPr>
        <w:tab/>
        <w:t>*</w:t>
      </w:r>
      <w:r w:rsidRPr="00BA0154">
        <w:rPr>
          <w:rFonts w:ascii="Arial" w:hAnsi="Arial" w:cs="Arial"/>
          <w:b/>
          <w:sz w:val="22"/>
          <w:szCs w:val="22"/>
        </w:rPr>
        <w:tab/>
        <w:t>requiring respondents to prepare a written response to a collection of information in fewer than 30 days after receipt of it;</w:t>
      </w:r>
    </w:p>
    <w:p w:rsidR="00FA14F6" w:rsidRPr="00BA0154" w:rsidP="00FA14F6" w14:paraId="775F6BAF" w14:textId="77777777">
      <w:pPr>
        <w:tabs>
          <w:tab w:val="left" w:pos="-1080"/>
          <w:tab w:val="left" w:pos="-720"/>
          <w:tab w:val="left" w:pos="360"/>
          <w:tab w:val="left" w:pos="720"/>
        </w:tabs>
        <w:ind w:left="720" w:hanging="720"/>
        <w:rPr>
          <w:rFonts w:ascii="Arial" w:hAnsi="Arial" w:cs="Arial"/>
          <w:b/>
          <w:sz w:val="22"/>
          <w:szCs w:val="22"/>
        </w:rPr>
      </w:pPr>
      <w:r w:rsidRPr="00BA0154">
        <w:rPr>
          <w:rFonts w:ascii="Arial" w:hAnsi="Arial" w:cs="Arial"/>
          <w:b/>
          <w:sz w:val="22"/>
          <w:szCs w:val="22"/>
        </w:rPr>
        <w:tab/>
        <w:t>*</w:t>
      </w:r>
      <w:r w:rsidRPr="00BA0154">
        <w:rPr>
          <w:rFonts w:ascii="Arial" w:hAnsi="Arial" w:cs="Arial"/>
          <w:b/>
          <w:sz w:val="22"/>
          <w:szCs w:val="22"/>
        </w:rPr>
        <w:tab/>
        <w:t>requiring respondents to submit more than an original and two copies of any document;</w:t>
      </w:r>
    </w:p>
    <w:p w:rsidR="00FA14F6" w:rsidRPr="00BA0154" w:rsidP="00FA14F6" w14:paraId="22B300E0" w14:textId="77777777">
      <w:pPr>
        <w:tabs>
          <w:tab w:val="left" w:pos="-1080"/>
          <w:tab w:val="left" w:pos="-720"/>
          <w:tab w:val="left" w:pos="360"/>
          <w:tab w:val="left" w:pos="720"/>
        </w:tabs>
        <w:ind w:left="720" w:hanging="720"/>
        <w:rPr>
          <w:rFonts w:ascii="Arial" w:hAnsi="Arial" w:cs="Arial"/>
          <w:b/>
          <w:sz w:val="22"/>
          <w:szCs w:val="22"/>
        </w:rPr>
      </w:pPr>
      <w:r w:rsidRPr="00BA0154">
        <w:rPr>
          <w:rFonts w:ascii="Arial" w:hAnsi="Arial" w:cs="Arial"/>
          <w:b/>
          <w:sz w:val="22"/>
          <w:szCs w:val="22"/>
        </w:rPr>
        <w:tab/>
        <w:t>*</w:t>
      </w:r>
      <w:r w:rsidRPr="00BA0154">
        <w:rPr>
          <w:rFonts w:ascii="Arial" w:hAnsi="Arial" w:cs="Arial"/>
          <w:b/>
          <w:sz w:val="22"/>
          <w:szCs w:val="22"/>
        </w:rPr>
        <w:tab/>
        <w:t>requiring respondents to retain records, other than health, medical, government contract, grant-in-aid, or tax records, for more than three years;</w:t>
      </w:r>
    </w:p>
    <w:p w:rsidR="00FA14F6" w:rsidRPr="00BA0154" w:rsidP="00FA14F6" w14:paraId="48356538" w14:textId="77777777">
      <w:pPr>
        <w:tabs>
          <w:tab w:val="left" w:pos="-1080"/>
          <w:tab w:val="left" w:pos="-720"/>
          <w:tab w:val="left" w:pos="360"/>
          <w:tab w:val="left" w:pos="720"/>
        </w:tabs>
        <w:ind w:left="720" w:hanging="720"/>
        <w:rPr>
          <w:rFonts w:ascii="Arial" w:hAnsi="Arial" w:cs="Arial"/>
          <w:b/>
          <w:sz w:val="22"/>
          <w:szCs w:val="22"/>
        </w:rPr>
      </w:pPr>
      <w:r w:rsidRPr="00BA0154">
        <w:rPr>
          <w:rFonts w:ascii="Arial" w:hAnsi="Arial" w:cs="Arial"/>
          <w:b/>
          <w:sz w:val="22"/>
          <w:szCs w:val="22"/>
        </w:rPr>
        <w:tab/>
        <w:t>*</w:t>
      </w:r>
      <w:r w:rsidRPr="00BA0154">
        <w:rPr>
          <w:rFonts w:ascii="Arial" w:hAnsi="Arial" w:cs="Arial"/>
          <w:b/>
          <w:sz w:val="22"/>
          <w:szCs w:val="22"/>
        </w:rPr>
        <w:tab/>
        <w:t>in connection with a statistical survey that is not designed to produce valid and reliable results that can be generalized to the universe of study;</w:t>
      </w:r>
    </w:p>
    <w:p w:rsidR="00FA14F6" w:rsidRPr="00BA0154" w:rsidP="00FA14F6" w14:paraId="4378F900" w14:textId="77777777">
      <w:pPr>
        <w:tabs>
          <w:tab w:val="left" w:pos="-1080"/>
          <w:tab w:val="left" w:pos="-720"/>
          <w:tab w:val="left" w:pos="360"/>
          <w:tab w:val="left" w:pos="720"/>
        </w:tabs>
        <w:ind w:left="720" w:hanging="720"/>
        <w:rPr>
          <w:rFonts w:ascii="Arial" w:hAnsi="Arial" w:cs="Arial"/>
          <w:b/>
          <w:sz w:val="22"/>
          <w:szCs w:val="22"/>
        </w:rPr>
      </w:pPr>
      <w:r w:rsidRPr="00BA0154">
        <w:rPr>
          <w:rFonts w:ascii="Arial" w:hAnsi="Arial" w:cs="Arial"/>
          <w:b/>
          <w:sz w:val="22"/>
          <w:szCs w:val="22"/>
        </w:rPr>
        <w:tab/>
        <w:t>*</w:t>
      </w:r>
      <w:r w:rsidRPr="00BA0154">
        <w:rPr>
          <w:rFonts w:ascii="Arial" w:hAnsi="Arial" w:cs="Arial"/>
          <w:b/>
          <w:sz w:val="22"/>
          <w:szCs w:val="22"/>
        </w:rPr>
        <w:tab/>
        <w:t>requiring the use of a statistical data classification that has not been reviewed and approved by OMB;</w:t>
      </w:r>
    </w:p>
    <w:p w:rsidR="00FA14F6" w:rsidRPr="00BA0154" w:rsidP="00FA14F6" w14:paraId="12F53ECF" w14:textId="77777777">
      <w:pPr>
        <w:tabs>
          <w:tab w:val="left" w:pos="-1080"/>
          <w:tab w:val="left" w:pos="-720"/>
          <w:tab w:val="left" w:pos="360"/>
          <w:tab w:val="left" w:pos="720"/>
        </w:tabs>
        <w:ind w:left="720" w:hanging="720"/>
        <w:rPr>
          <w:rFonts w:ascii="Arial" w:hAnsi="Arial" w:cs="Arial"/>
          <w:b/>
          <w:sz w:val="22"/>
          <w:szCs w:val="22"/>
        </w:rPr>
      </w:pPr>
      <w:r w:rsidRPr="00BA0154">
        <w:rPr>
          <w:rFonts w:ascii="Arial" w:hAnsi="Arial" w:cs="Arial"/>
          <w:b/>
          <w:sz w:val="22"/>
          <w:szCs w:val="22"/>
        </w:rPr>
        <w:tab/>
        <w:t>*</w:t>
      </w:r>
      <w:r w:rsidRPr="00BA015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BA0154" w:rsidP="00FA14F6" w14:paraId="65773B73" w14:textId="77777777">
      <w:pPr>
        <w:tabs>
          <w:tab w:val="left" w:pos="-1080"/>
          <w:tab w:val="left" w:pos="-720"/>
          <w:tab w:val="left" w:pos="360"/>
          <w:tab w:val="left" w:pos="720"/>
        </w:tabs>
        <w:ind w:left="720" w:hanging="720"/>
        <w:rPr>
          <w:rFonts w:ascii="Arial" w:hAnsi="Arial" w:cs="Arial"/>
          <w:sz w:val="22"/>
          <w:szCs w:val="22"/>
        </w:rPr>
      </w:pPr>
      <w:r w:rsidRPr="00BA0154">
        <w:rPr>
          <w:rFonts w:ascii="Arial" w:hAnsi="Arial" w:cs="Arial"/>
          <w:b/>
          <w:sz w:val="22"/>
          <w:szCs w:val="22"/>
        </w:rPr>
        <w:tab/>
        <w:t>*</w:t>
      </w:r>
      <w:r w:rsidRPr="00BA015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BA0154" w:rsidP="00FA14F6" w14:paraId="2A30AA15" w14:textId="77777777">
      <w:pPr>
        <w:tabs>
          <w:tab w:val="left" w:pos="-1080"/>
          <w:tab w:val="left" w:pos="-720"/>
          <w:tab w:val="left" w:pos="360"/>
          <w:tab w:val="left" w:pos="720"/>
        </w:tabs>
        <w:rPr>
          <w:rFonts w:ascii="Arial" w:hAnsi="Arial" w:cs="Arial"/>
          <w:sz w:val="22"/>
          <w:szCs w:val="22"/>
        </w:rPr>
      </w:pPr>
    </w:p>
    <w:p w:rsidR="00FA14F6" w:rsidRPr="00BA0154" w:rsidP="00FA14F6" w14:paraId="27F9B269" w14:textId="77777777">
      <w:pPr>
        <w:tabs>
          <w:tab w:val="left" w:pos="-1080"/>
          <w:tab w:val="left" w:pos="-720"/>
          <w:tab w:val="left" w:pos="360"/>
          <w:tab w:val="left" w:pos="720"/>
        </w:tabs>
        <w:rPr>
          <w:rFonts w:ascii="Arial" w:hAnsi="Arial" w:cs="Arial"/>
          <w:sz w:val="22"/>
          <w:szCs w:val="22"/>
        </w:rPr>
      </w:pPr>
      <w:r w:rsidRPr="00BA0154">
        <w:rPr>
          <w:rFonts w:ascii="Arial" w:hAnsi="Arial" w:cs="Arial"/>
          <w:sz w:val="22"/>
          <w:szCs w:val="22"/>
        </w:rPr>
        <w:t>If the ICR contains surveys or censuses or employs statistical methods (see questions #5 and #6 above), then a Supporting Statement B is required.  If the collection is not consistent with OMB guidelines, you must thoroughly explain the need for any inconsistencies.</w:t>
      </w:r>
    </w:p>
    <w:p w:rsidR="00FA14F6" w:rsidRPr="00BA0154" w:rsidP="00FA14F6" w14:paraId="313E2443" w14:textId="77777777">
      <w:pPr>
        <w:tabs>
          <w:tab w:val="left" w:pos="-1080"/>
          <w:tab w:val="left" w:pos="-720"/>
          <w:tab w:val="left" w:pos="360"/>
          <w:tab w:val="left" w:pos="720"/>
        </w:tabs>
        <w:rPr>
          <w:rFonts w:ascii="Arial" w:hAnsi="Arial" w:cs="Arial"/>
          <w:sz w:val="22"/>
          <w:szCs w:val="22"/>
        </w:rPr>
      </w:pPr>
    </w:p>
    <w:p w:rsidR="00FA14F6" w:rsidRPr="00BA0154" w:rsidP="709F5254" w14:paraId="3801E812" w14:textId="3365D86B">
      <w:pPr>
        <w:tabs>
          <w:tab w:val="left" w:pos="360"/>
          <w:tab w:val="left" w:pos="720"/>
        </w:tabs>
        <w:rPr>
          <w:rFonts w:ascii="Arial" w:hAnsi="Arial" w:cs="Arial"/>
          <w:sz w:val="22"/>
          <w:szCs w:val="22"/>
        </w:rPr>
      </w:pPr>
      <w:r w:rsidRPr="00BA0154">
        <w:rPr>
          <w:rFonts w:ascii="Arial" w:hAnsi="Arial" w:cs="Arial"/>
          <w:sz w:val="22"/>
          <w:szCs w:val="22"/>
        </w:rPr>
        <w:t>There are no circumstances that require us to collect the information in a manner inconsistent with OMB guidelines.</w:t>
      </w:r>
    </w:p>
    <w:p w:rsidR="00FA14F6" w:rsidRPr="00BA0154" w:rsidP="709F5254" w14:paraId="3C30CA30" w14:textId="77777777">
      <w:pPr>
        <w:tabs>
          <w:tab w:val="left" w:pos="360"/>
          <w:tab w:val="left" w:pos="720"/>
        </w:tabs>
        <w:rPr>
          <w:rFonts w:ascii="Arial" w:hAnsi="Arial" w:cs="Arial"/>
          <w:sz w:val="22"/>
          <w:szCs w:val="22"/>
        </w:rPr>
      </w:pPr>
    </w:p>
    <w:p w:rsidR="00FA14F6" w:rsidRPr="00BA0154" w:rsidP="709F5254" w14:paraId="36C97080" w14:textId="77777777">
      <w:pPr>
        <w:tabs>
          <w:tab w:val="left" w:pos="360"/>
          <w:tab w:val="left" w:pos="720"/>
        </w:tabs>
        <w:rPr>
          <w:rFonts w:ascii="Arial" w:hAnsi="Arial" w:cs="Arial"/>
          <w:sz w:val="22"/>
          <w:szCs w:val="22"/>
        </w:rPr>
      </w:pPr>
      <w:r w:rsidRPr="00BA0154">
        <w:rPr>
          <w:rFonts w:ascii="Arial" w:hAnsi="Arial" w:cs="Arial"/>
          <w:b/>
          <w:bCs/>
          <w:sz w:val="22"/>
          <w:szCs w:val="22"/>
        </w:rPr>
        <w:t>8.</w:t>
      </w:r>
      <w:r w:rsidRPr="00BA0154">
        <w:rPr>
          <w:rFonts w:ascii="Arial" w:hAnsi="Arial" w:cs="Arial"/>
          <w:sz w:val="22"/>
          <w:szCs w:val="22"/>
        </w:rPr>
        <w:tab/>
      </w:r>
      <w:r w:rsidRPr="00BA0154">
        <w:rPr>
          <w:rFonts w:ascii="Arial" w:hAnsi="Arial" w:cs="Arial"/>
          <w:b/>
          <w:bCs/>
          <w:sz w:val="22"/>
          <w:szCs w:val="22"/>
        </w:rPr>
        <w:t xml:space="preserve">If applicable, provide a copy and identify the date and page number of publication in the </w:t>
      </w:r>
      <w:r w:rsidRPr="00BA0154">
        <w:rPr>
          <w:rFonts w:ascii="Arial" w:hAnsi="Arial" w:cs="Arial"/>
          <w:b/>
          <w:bCs/>
          <w:i/>
          <w:iCs/>
          <w:sz w:val="22"/>
          <w:szCs w:val="22"/>
        </w:rPr>
        <w:t>Federal Register</w:t>
      </w:r>
      <w:r w:rsidRPr="00BA0154">
        <w:rPr>
          <w:rFonts w:ascii="Arial" w:hAnsi="Arial" w:cs="Arial"/>
          <w:b/>
          <w:bCs/>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w:t>
      </w:r>
      <w:r w:rsidRPr="00BA0154">
        <w:rPr>
          <w:rFonts w:ascii="Arial" w:hAnsi="Arial" w:cs="Arial"/>
          <w:b/>
          <w:bCs/>
          <w:sz w:val="22"/>
          <w:szCs w:val="22"/>
        </w:rPr>
        <w:t>cost and hour burden.</w:t>
      </w:r>
    </w:p>
    <w:p w:rsidR="00FA14F6" w:rsidRPr="00BA0154" w:rsidP="00FA14F6" w14:paraId="68EDA8E7" w14:textId="77777777">
      <w:pPr>
        <w:tabs>
          <w:tab w:val="left" w:pos="-1080"/>
          <w:tab w:val="left" w:pos="-720"/>
          <w:tab w:val="left" w:pos="360"/>
          <w:tab w:val="left" w:pos="720"/>
        </w:tabs>
        <w:rPr>
          <w:rFonts w:ascii="Arial" w:hAnsi="Arial" w:cs="Arial"/>
          <w:b/>
          <w:sz w:val="22"/>
          <w:szCs w:val="22"/>
        </w:rPr>
      </w:pPr>
    </w:p>
    <w:p w:rsidR="00FA14F6" w:rsidRPr="00BA0154" w:rsidP="00FA14F6" w14:paraId="00758DEC" w14:textId="77777777">
      <w:pPr>
        <w:tabs>
          <w:tab w:val="left" w:pos="-1080"/>
          <w:tab w:val="left" w:pos="-720"/>
          <w:tab w:val="left" w:pos="360"/>
          <w:tab w:val="left" w:pos="720"/>
        </w:tabs>
        <w:rPr>
          <w:rFonts w:ascii="Arial" w:hAnsi="Arial" w:cs="Arial"/>
          <w:b/>
          <w:sz w:val="22"/>
          <w:szCs w:val="22"/>
        </w:rPr>
      </w:pPr>
      <w:r w:rsidRPr="00BA015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BA0154" w:rsidP="00FA14F6" w14:paraId="38D24EB5" w14:textId="77777777">
      <w:pPr>
        <w:tabs>
          <w:tab w:val="left" w:pos="-1080"/>
          <w:tab w:val="left" w:pos="-720"/>
          <w:tab w:val="left" w:pos="360"/>
          <w:tab w:val="left" w:pos="720"/>
        </w:tabs>
        <w:rPr>
          <w:rFonts w:ascii="Arial" w:hAnsi="Arial" w:cs="Arial"/>
          <w:b/>
          <w:sz w:val="22"/>
          <w:szCs w:val="22"/>
        </w:rPr>
      </w:pPr>
    </w:p>
    <w:p w:rsidR="00FA14F6" w:rsidRPr="00BA0154" w:rsidP="00FA14F6" w14:paraId="77224387" w14:textId="77777777">
      <w:pPr>
        <w:tabs>
          <w:tab w:val="left" w:pos="-1080"/>
          <w:tab w:val="left" w:pos="-720"/>
          <w:tab w:val="left" w:pos="360"/>
          <w:tab w:val="left" w:pos="720"/>
        </w:tabs>
        <w:rPr>
          <w:rFonts w:ascii="Arial" w:hAnsi="Arial" w:cs="Arial"/>
          <w:sz w:val="22"/>
          <w:szCs w:val="22"/>
        </w:rPr>
      </w:pPr>
      <w:r w:rsidRPr="00BA015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BA0154" w:rsidP="00FA14F6" w14:paraId="78858C2C" w14:textId="77777777">
      <w:pPr>
        <w:tabs>
          <w:tab w:val="left" w:pos="-1080"/>
          <w:tab w:val="left" w:pos="-720"/>
          <w:tab w:val="left" w:pos="360"/>
          <w:tab w:val="left" w:pos="720"/>
        </w:tabs>
        <w:rPr>
          <w:rFonts w:ascii="Arial" w:hAnsi="Arial" w:cs="Arial"/>
          <w:sz w:val="22"/>
          <w:szCs w:val="22"/>
        </w:rPr>
      </w:pPr>
    </w:p>
    <w:p w:rsidR="00FA14F6" w:rsidRPr="00BA0154" w:rsidP="00FA14F6" w14:paraId="076C2204" w14:textId="77777777">
      <w:pPr>
        <w:tabs>
          <w:tab w:val="left" w:pos="-1080"/>
          <w:tab w:val="left" w:pos="-720"/>
          <w:tab w:val="left" w:pos="360"/>
          <w:tab w:val="left" w:pos="720"/>
        </w:tabs>
        <w:rPr>
          <w:rFonts w:ascii="Arial" w:hAnsi="Arial" w:cs="Arial"/>
          <w:sz w:val="22"/>
          <w:szCs w:val="22"/>
        </w:rPr>
      </w:pPr>
    </w:p>
    <w:p w:rsidR="00352540" w:rsidRPr="002D3783" w:rsidP="00352540" w14:paraId="37E35349" w14:textId="642CA2DA">
      <w:pPr>
        <w:tabs>
          <w:tab w:val="left" w:pos="-1080"/>
          <w:tab w:val="left" w:pos="-720"/>
          <w:tab w:val="left" w:pos="360"/>
          <w:tab w:val="left" w:pos="720"/>
        </w:tabs>
        <w:rPr>
          <w:rFonts w:ascii="Arial" w:hAnsi="Arial" w:cs="Arial"/>
          <w:sz w:val="22"/>
          <w:szCs w:val="22"/>
        </w:rPr>
      </w:pPr>
      <w:r w:rsidRPr="00BA0154">
        <w:rPr>
          <w:rFonts w:ascii="Arial" w:hAnsi="Arial" w:cs="Arial"/>
          <w:sz w:val="22"/>
          <w:szCs w:val="22"/>
        </w:rPr>
        <w:t xml:space="preserve">On </w:t>
      </w:r>
      <w:r w:rsidRPr="00BA0154" w:rsidR="00CC7BDB">
        <w:rPr>
          <w:rFonts w:ascii="Arial" w:hAnsi="Arial" w:cs="Arial"/>
          <w:sz w:val="22"/>
          <w:szCs w:val="22"/>
        </w:rPr>
        <w:t>January 22, 2026</w:t>
      </w:r>
      <w:r w:rsidRPr="00BA0154">
        <w:rPr>
          <w:rFonts w:ascii="Arial" w:hAnsi="Arial" w:cs="Arial"/>
          <w:sz w:val="22"/>
          <w:szCs w:val="22"/>
        </w:rPr>
        <w:t xml:space="preserve">, </w:t>
      </w:r>
      <w:r w:rsidRPr="00BA0154" w:rsidR="00020495">
        <w:rPr>
          <w:rFonts w:ascii="Arial" w:hAnsi="Arial" w:cs="Arial"/>
          <w:sz w:val="22"/>
          <w:szCs w:val="22"/>
        </w:rPr>
        <w:t xml:space="preserve">we published </w:t>
      </w:r>
      <w:r w:rsidRPr="00BA0154">
        <w:rPr>
          <w:rFonts w:ascii="Arial" w:hAnsi="Arial" w:cs="Arial"/>
          <w:sz w:val="22"/>
          <w:szCs w:val="22"/>
        </w:rPr>
        <w:t xml:space="preserve">a 60-Day </w:t>
      </w:r>
      <w:r w:rsidRPr="00BA0154">
        <w:rPr>
          <w:rFonts w:ascii="Arial" w:hAnsi="Arial" w:cs="Arial"/>
          <w:i/>
          <w:sz w:val="22"/>
          <w:szCs w:val="22"/>
        </w:rPr>
        <w:t>Federal Register</w:t>
      </w:r>
      <w:r w:rsidRPr="00BA0154">
        <w:rPr>
          <w:rFonts w:ascii="Arial" w:hAnsi="Arial" w:cs="Arial"/>
          <w:sz w:val="22"/>
          <w:szCs w:val="22"/>
        </w:rPr>
        <w:t xml:space="preserve"> notice </w:t>
      </w:r>
      <w:r w:rsidRPr="00BA0154" w:rsidR="00020495">
        <w:rPr>
          <w:rFonts w:ascii="Arial" w:hAnsi="Arial" w:cs="Arial"/>
          <w:sz w:val="22"/>
          <w:szCs w:val="22"/>
        </w:rPr>
        <w:t>(</w:t>
      </w:r>
      <w:r w:rsidRPr="00BA0154" w:rsidR="00CC7BDB">
        <w:rPr>
          <w:rFonts w:ascii="Arial" w:hAnsi="Arial" w:cs="Arial"/>
          <w:sz w:val="22"/>
          <w:szCs w:val="22"/>
        </w:rPr>
        <w:t>91</w:t>
      </w:r>
      <w:r w:rsidRPr="00BA0154">
        <w:rPr>
          <w:rFonts w:ascii="Arial" w:hAnsi="Arial" w:cs="Arial"/>
          <w:sz w:val="22"/>
          <w:szCs w:val="22"/>
        </w:rPr>
        <w:t xml:space="preserve"> FR </w:t>
      </w:r>
      <w:r w:rsidRPr="00BA0154" w:rsidR="00CC7BDB">
        <w:rPr>
          <w:rFonts w:ascii="Arial" w:hAnsi="Arial" w:cs="Arial"/>
          <w:sz w:val="22"/>
          <w:szCs w:val="22"/>
        </w:rPr>
        <w:t>2795</w:t>
      </w:r>
      <w:r w:rsidRPr="00BA0154" w:rsidR="00020495">
        <w:rPr>
          <w:rFonts w:ascii="Arial" w:hAnsi="Arial" w:cs="Arial"/>
          <w:sz w:val="22"/>
          <w:szCs w:val="22"/>
        </w:rPr>
        <w:t>)</w:t>
      </w:r>
      <w:r w:rsidRPr="00BA0154">
        <w:rPr>
          <w:rFonts w:ascii="Arial" w:hAnsi="Arial" w:cs="Arial"/>
          <w:sz w:val="22"/>
          <w:szCs w:val="22"/>
        </w:rPr>
        <w:t>.</w:t>
      </w:r>
      <w:r w:rsidRPr="00BA0154" w:rsidR="00770293">
        <w:rPr>
          <w:rFonts w:ascii="Arial" w:hAnsi="Arial" w:cs="Arial"/>
          <w:sz w:val="22"/>
          <w:szCs w:val="22"/>
        </w:rPr>
        <w:t xml:space="preserve"> </w:t>
      </w:r>
      <w:r w:rsidRPr="002D3783" w:rsidR="00D27676">
        <w:rPr>
          <w:rFonts w:ascii="Arial" w:hAnsi="Arial" w:cs="Arial"/>
          <w:sz w:val="22"/>
          <w:szCs w:val="22"/>
        </w:rPr>
        <w:t xml:space="preserve">In </w:t>
      </w:r>
      <w:r w:rsidRPr="00BA0154">
        <w:rPr>
          <w:rFonts w:ascii="Arial" w:hAnsi="Arial" w:cs="Arial"/>
          <w:sz w:val="22"/>
          <w:szCs w:val="22"/>
        </w:rPr>
        <w:t xml:space="preserve">response to </w:t>
      </w:r>
      <w:r w:rsidRPr="002D3783" w:rsidR="00D27676">
        <w:rPr>
          <w:rFonts w:ascii="Arial" w:hAnsi="Arial" w:cs="Arial"/>
          <w:sz w:val="22"/>
          <w:szCs w:val="22"/>
        </w:rPr>
        <w:t>the 60</w:t>
      </w:r>
      <w:r w:rsidRPr="002D3783" w:rsidR="00D27676">
        <w:rPr>
          <w:rFonts w:ascii="Cambria Math" w:hAnsi="Cambria Math" w:cs="Cambria Math"/>
          <w:sz w:val="22"/>
          <w:szCs w:val="22"/>
        </w:rPr>
        <w:t>‑</w:t>
      </w:r>
      <w:r w:rsidRPr="002D3783" w:rsidR="00D27676">
        <w:rPr>
          <w:rFonts w:ascii="Arial" w:hAnsi="Arial" w:cs="Arial"/>
          <w:sz w:val="22"/>
          <w:szCs w:val="22"/>
        </w:rPr>
        <w:t>day</w:t>
      </w:r>
      <w:r w:rsidRPr="00BA0154">
        <w:rPr>
          <w:rFonts w:ascii="Arial" w:hAnsi="Arial" w:cs="Arial"/>
          <w:sz w:val="22"/>
          <w:szCs w:val="22"/>
        </w:rPr>
        <w:t xml:space="preserve"> notice</w:t>
      </w:r>
      <w:r w:rsidR="00DF354C">
        <w:rPr>
          <w:rFonts w:ascii="Arial" w:hAnsi="Arial" w:cs="Arial"/>
          <w:sz w:val="22"/>
          <w:szCs w:val="22"/>
        </w:rPr>
        <w:t>,</w:t>
      </w:r>
      <w:r w:rsidRPr="002D3783">
        <w:rPr>
          <w:rFonts w:ascii="Arial" w:hAnsi="Arial" w:cs="Arial"/>
          <w:sz w:val="22"/>
          <w:szCs w:val="22"/>
        </w:rPr>
        <w:t xml:space="preserve"> two public comments were received through Regulations.gov relating to Docket USGS</w:t>
      </w:r>
      <w:r w:rsidRPr="002D3783">
        <w:rPr>
          <w:rFonts w:ascii="Arial" w:hAnsi="Arial" w:cs="Arial"/>
          <w:sz w:val="22"/>
          <w:szCs w:val="22"/>
        </w:rPr>
        <w:noBreakHyphen/>
        <w:t>2025</w:t>
      </w:r>
      <w:r w:rsidRPr="002D3783">
        <w:rPr>
          <w:rFonts w:ascii="Arial" w:hAnsi="Arial" w:cs="Arial"/>
          <w:sz w:val="22"/>
          <w:szCs w:val="22"/>
        </w:rPr>
        <w:noBreakHyphen/>
        <w:t>0237.</w:t>
      </w:r>
    </w:p>
    <w:p w:rsidR="006C725A" w:rsidRPr="002D3783" w:rsidP="00352540" w14:paraId="46A7B361" w14:textId="77777777">
      <w:pPr>
        <w:tabs>
          <w:tab w:val="left" w:pos="-1080"/>
          <w:tab w:val="left" w:pos="-720"/>
          <w:tab w:val="left" w:pos="360"/>
          <w:tab w:val="left" w:pos="720"/>
        </w:tabs>
        <w:rPr>
          <w:rFonts w:ascii="Arial" w:hAnsi="Arial" w:cs="Arial"/>
          <w:sz w:val="22"/>
          <w:szCs w:val="22"/>
        </w:rPr>
      </w:pPr>
    </w:p>
    <w:p w:rsidR="006C725A" w:rsidRPr="002D3783" w:rsidP="006C725A" w14:paraId="6C27AA60" w14:textId="77777777">
      <w:pPr>
        <w:tabs>
          <w:tab w:val="left" w:pos="-1080"/>
          <w:tab w:val="left" w:pos="-720"/>
          <w:tab w:val="left" w:pos="360"/>
          <w:tab w:val="left" w:pos="720"/>
        </w:tabs>
        <w:rPr>
          <w:rFonts w:ascii="Arial" w:hAnsi="Arial" w:cs="Arial"/>
          <w:b/>
          <w:bCs/>
          <w:sz w:val="22"/>
          <w:szCs w:val="22"/>
        </w:rPr>
      </w:pPr>
      <w:r w:rsidRPr="002D3783">
        <w:rPr>
          <w:rFonts w:ascii="Arial" w:hAnsi="Arial" w:cs="Arial"/>
          <w:b/>
          <w:bCs/>
          <w:sz w:val="22"/>
          <w:szCs w:val="22"/>
        </w:rPr>
        <w:t>Summary of Comments</w:t>
      </w:r>
    </w:p>
    <w:p w:rsidR="006C725A" w:rsidRPr="002D3783" w:rsidP="006C725A" w14:paraId="48C009F4" w14:textId="77777777">
      <w:pPr>
        <w:tabs>
          <w:tab w:val="left" w:pos="-1080"/>
          <w:tab w:val="left" w:pos="-720"/>
          <w:tab w:val="left" w:pos="360"/>
          <w:tab w:val="left" w:pos="720"/>
        </w:tabs>
        <w:rPr>
          <w:rFonts w:ascii="Arial" w:hAnsi="Arial" w:cs="Arial"/>
          <w:sz w:val="22"/>
          <w:szCs w:val="22"/>
        </w:rPr>
      </w:pPr>
    </w:p>
    <w:p w:rsidR="006C725A" w:rsidRPr="002D3783" w:rsidP="006C725A" w14:paraId="0A4AB0D5" w14:textId="77777777">
      <w:pPr>
        <w:tabs>
          <w:tab w:val="left" w:pos="-1080"/>
          <w:tab w:val="left" w:pos="-720"/>
          <w:tab w:val="left" w:pos="360"/>
          <w:tab w:val="left" w:pos="720"/>
        </w:tabs>
        <w:rPr>
          <w:rFonts w:ascii="Arial" w:hAnsi="Arial" w:cs="Arial"/>
          <w:sz w:val="22"/>
          <w:szCs w:val="22"/>
        </w:rPr>
      </w:pPr>
    </w:p>
    <w:p w:rsidR="006C725A" w:rsidRPr="002D3783" w:rsidP="006C725A" w14:paraId="6E6E9106" w14:textId="7EEF7E2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General Comment</w:t>
      </w:r>
    </w:p>
    <w:p w:rsidR="006C725A" w:rsidRPr="002D3783" w:rsidP="006C725A" w14:paraId="22BE957B"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One commenter submitted a brief general statement (“mkp</w:t>
      </w:r>
      <w:r w:rsidRPr="002D3783">
        <w:rPr>
          <w:rFonts w:ascii="Cambria Math" w:hAnsi="Cambria Math" w:cs="Cambria Math"/>
          <w:sz w:val="22"/>
          <w:szCs w:val="22"/>
        </w:rPr>
        <w:t>‑</w:t>
      </w:r>
      <w:r w:rsidRPr="002D3783">
        <w:rPr>
          <w:rFonts w:ascii="Arial" w:hAnsi="Arial" w:cs="Arial"/>
          <w:sz w:val="22"/>
          <w:szCs w:val="22"/>
        </w:rPr>
        <w:t>xex8</w:t>
      </w:r>
      <w:r w:rsidRPr="002D3783">
        <w:rPr>
          <w:rFonts w:ascii="Cambria Math" w:hAnsi="Cambria Math" w:cs="Cambria Math"/>
          <w:sz w:val="22"/>
          <w:szCs w:val="22"/>
        </w:rPr>
        <w:t>‑</w:t>
      </w:r>
      <w:r w:rsidRPr="002D3783">
        <w:rPr>
          <w:rFonts w:ascii="Arial" w:hAnsi="Arial" w:cs="Arial"/>
          <w:sz w:val="22"/>
          <w:szCs w:val="22"/>
        </w:rPr>
        <w:t>y7jo”) without specific feedback related to the information collection, burden estimates, reporting requirements, or clarity of instructions.</w:t>
      </w:r>
    </w:p>
    <w:p w:rsidR="006C725A" w:rsidRPr="002D3783" w:rsidP="006C725A" w14:paraId="047964BB"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Source: USGS-2025-0237-DRAFT-0001.html</w:t>
      </w:r>
    </w:p>
    <w:p w:rsidR="006C725A" w:rsidRPr="002D3783" w:rsidP="006C725A" w14:paraId="401A13A1" w14:textId="77777777">
      <w:pPr>
        <w:tabs>
          <w:tab w:val="left" w:pos="-1080"/>
          <w:tab w:val="left" w:pos="-720"/>
          <w:tab w:val="left" w:pos="360"/>
          <w:tab w:val="left" w:pos="720"/>
        </w:tabs>
        <w:rPr>
          <w:rFonts w:ascii="Arial" w:hAnsi="Arial" w:cs="Arial"/>
          <w:sz w:val="22"/>
          <w:szCs w:val="22"/>
        </w:rPr>
      </w:pPr>
    </w:p>
    <w:p w:rsidR="006C725A" w:rsidRPr="002D3783" w:rsidP="006C725A" w14:paraId="436FDC15" w14:textId="77777777">
      <w:pPr>
        <w:tabs>
          <w:tab w:val="left" w:pos="-1080"/>
          <w:tab w:val="left" w:pos="-720"/>
          <w:tab w:val="left" w:pos="360"/>
          <w:tab w:val="left" w:pos="720"/>
        </w:tabs>
        <w:rPr>
          <w:rFonts w:ascii="Arial" w:hAnsi="Arial" w:cs="Arial"/>
          <w:sz w:val="22"/>
          <w:szCs w:val="22"/>
        </w:rPr>
      </w:pPr>
    </w:p>
    <w:p w:rsidR="006C725A" w:rsidRPr="002D3783" w:rsidP="006C725A" w14:paraId="355AEE3E"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Comment Regarding Broader Water Resource and Environmental Issues</w:t>
      </w:r>
    </w:p>
    <w:p w:rsidR="006C725A" w:rsidRPr="002D3783" w:rsidP="006C725A" w14:paraId="7C72877A"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Another commenter expressed concerns unrelated to the information collection requirements.</w:t>
      </w:r>
    </w:p>
    <w:p w:rsidR="006C725A" w:rsidRPr="002D3783" w:rsidP="006C725A" w14:paraId="50C4540C"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The commenter raised issues about:</w:t>
      </w:r>
    </w:p>
    <w:p w:rsidR="006C725A" w:rsidRPr="002D3783" w:rsidP="006C725A" w14:paraId="16D92C99" w14:textId="77777777">
      <w:pPr>
        <w:tabs>
          <w:tab w:val="left" w:pos="-1080"/>
          <w:tab w:val="left" w:pos="-720"/>
          <w:tab w:val="left" w:pos="360"/>
          <w:tab w:val="left" w:pos="720"/>
        </w:tabs>
        <w:rPr>
          <w:rFonts w:ascii="Arial" w:hAnsi="Arial" w:cs="Arial"/>
          <w:sz w:val="22"/>
          <w:szCs w:val="22"/>
        </w:rPr>
      </w:pPr>
    </w:p>
    <w:p w:rsidR="006C725A" w:rsidRPr="002D3783" w:rsidP="006C725A" w14:paraId="2490B410"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Water availability impacts from data center development</w:t>
      </w:r>
    </w:p>
    <w:p w:rsidR="006C725A" w:rsidRPr="002D3783" w:rsidP="006C725A" w14:paraId="5E58926B"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Lack of action relating to wildfires in Nebraska</w:t>
      </w:r>
    </w:p>
    <w:p w:rsidR="006C725A" w:rsidRPr="002D3783" w:rsidP="006C725A" w14:paraId="06F5ED17"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Environmental and emergency response concerns connected to recent large wildfire events</w:t>
      </w:r>
    </w:p>
    <w:p w:rsidR="006C725A" w:rsidRPr="002D3783" w:rsidP="006C725A" w14:paraId="23953325" w14:textId="77777777">
      <w:pPr>
        <w:tabs>
          <w:tab w:val="left" w:pos="-1080"/>
          <w:tab w:val="left" w:pos="-720"/>
          <w:tab w:val="left" w:pos="360"/>
          <w:tab w:val="left" w:pos="720"/>
        </w:tabs>
        <w:rPr>
          <w:rFonts w:ascii="Arial" w:hAnsi="Arial" w:cs="Arial"/>
          <w:sz w:val="22"/>
          <w:szCs w:val="22"/>
        </w:rPr>
      </w:pPr>
    </w:p>
    <w:p w:rsidR="006C725A" w:rsidRPr="002D3783" w:rsidP="006C725A" w14:paraId="2DD7D73A"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These remarks did not address:</w:t>
      </w:r>
    </w:p>
    <w:p w:rsidR="006C725A" w:rsidRPr="002D3783" w:rsidP="006C725A" w14:paraId="4C689C2B" w14:textId="77777777">
      <w:pPr>
        <w:tabs>
          <w:tab w:val="left" w:pos="-1080"/>
          <w:tab w:val="left" w:pos="-720"/>
          <w:tab w:val="left" w:pos="360"/>
          <w:tab w:val="left" w:pos="720"/>
        </w:tabs>
        <w:rPr>
          <w:rFonts w:ascii="Arial" w:hAnsi="Arial" w:cs="Arial"/>
          <w:sz w:val="22"/>
          <w:szCs w:val="22"/>
        </w:rPr>
      </w:pPr>
    </w:p>
    <w:p w:rsidR="006C725A" w:rsidRPr="002D3783" w:rsidP="006C725A" w14:paraId="643BFE20"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The PRA burden</w:t>
      </w:r>
    </w:p>
    <w:p w:rsidR="006C725A" w:rsidRPr="002D3783" w:rsidP="006C725A" w14:paraId="6C911007"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Reporting frequency</w:t>
      </w:r>
    </w:p>
    <w:p w:rsidR="006C725A" w:rsidRPr="002D3783" w:rsidP="006C725A" w14:paraId="1420C6CB"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Clarity of required data elements</w:t>
      </w:r>
    </w:p>
    <w:p w:rsidR="006C725A" w:rsidRPr="002D3783" w:rsidP="006C725A" w14:paraId="4877231A"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Methods of submission</w:t>
      </w:r>
    </w:p>
    <w:p w:rsidR="006C725A" w:rsidRPr="002D3783" w:rsidP="006C725A" w14:paraId="1D8A6F9E"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Estimates of burden hours or costs</w:t>
      </w:r>
    </w:p>
    <w:p w:rsidR="006C725A" w:rsidRPr="002D3783" w:rsidP="006C725A" w14:paraId="62E8CBB3" w14:textId="77777777">
      <w:pPr>
        <w:tabs>
          <w:tab w:val="left" w:pos="-1080"/>
          <w:tab w:val="left" w:pos="-720"/>
          <w:tab w:val="left" w:pos="360"/>
          <w:tab w:val="left" w:pos="720"/>
        </w:tabs>
        <w:rPr>
          <w:rFonts w:ascii="Arial" w:hAnsi="Arial" w:cs="Arial"/>
          <w:sz w:val="22"/>
          <w:szCs w:val="22"/>
        </w:rPr>
      </w:pPr>
    </w:p>
    <w:p w:rsidR="006C725A" w:rsidRPr="002D3783" w:rsidP="006C725A" w14:paraId="17DB80ED"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Source: USGS-2025-0237-DRAFT-0002.html</w:t>
      </w:r>
    </w:p>
    <w:p w:rsidR="006C725A" w:rsidRPr="002D3783" w:rsidP="006C725A" w14:paraId="5AEDB0FA" w14:textId="77777777">
      <w:pPr>
        <w:tabs>
          <w:tab w:val="left" w:pos="-1080"/>
          <w:tab w:val="left" w:pos="-720"/>
          <w:tab w:val="left" w:pos="360"/>
          <w:tab w:val="left" w:pos="720"/>
        </w:tabs>
        <w:rPr>
          <w:rFonts w:ascii="Arial" w:hAnsi="Arial" w:cs="Arial"/>
          <w:sz w:val="22"/>
          <w:szCs w:val="22"/>
        </w:rPr>
      </w:pPr>
    </w:p>
    <w:p w:rsidR="006C725A" w:rsidRPr="002D3783" w:rsidP="006C725A" w14:paraId="6BAB5F74" w14:textId="77777777">
      <w:pPr>
        <w:tabs>
          <w:tab w:val="left" w:pos="-1080"/>
          <w:tab w:val="left" w:pos="-720"/>
          <w:tab w:val="left" w:pos="360"/>
          <w:tab w:val="left" w:pos="720"/>
        </w:tabs>
        <w:rPr>
          <w:rFonts w:ascii="Arial" w:hAnsi="Arial" w:cs="Arial"/>
          <w:sz w:val="22"/>
          <w:szCs w:val="22"/>
        </w:rPr>
      </w:pPr>
    </w:p>
    <w:p w:rsidR="006C725A" w:rsidRPr="002D3783" w:rsidP="006C725A" w14:paraId="2879CFEA"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Agency Consideration</w:t>
      </w:r>
    </w:p>
    <w:p w:rsidR="006C725A" w:rsidRPr="002D3783" w:rsidP="006C725A" w14:paraId="642A17B3" w14:textId="77777777">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Because neither comment addressed the content of the collection, the burden estimates, the reporting process, or the clarity and necessity of the information being collected under OMB Control No. 1028</w:t>
      </w:r>
      <w:r w:rsidRPr="002D3783">
        <w:rPr>
          <w:rFonts w:ascii="Cambria Math" w:hAnsi="Cambria Math" w:cs="Cambria Math"/>
          <w:sz w:val="22"/>
          <w:szCs w:val="22"/>
        </w:rPr>
        <w:t>‑</w:t>
      </w:r>
      <w:r w:rsidRPr="002D3783">
        <w:rPr>
          <w:rFonts w:ascii="Arial" w:hAnsi="Arial" w:cs="Arial"/>
          <w:sz w:val="22"/>
          <w:szCs w:val="22"/>
        </w:rPr>
        <w:t>0097, no changes to the proposed information collection were required.</w:t>
      </w:r>
    </w:p>
    <w:p w:rsidR="00FA14F6" w:rsidRPr="00BA0154" w:rsidP="00FA14F6" w14:paraId="166F70DA" w14:textId="478BB839">
      <w:pPr>
        <w:tabs>
          <w:tab w:val="left" w:pos="-1080"/>
          <w:tab w:val="left" w:pos="-720"/>
          <w:tab w:val="left" w:pos="360"/>
          <w:tab w:val="left" w:pos="720"/>
        </w:tabs>
        <w:rPr>
          <w:rFonts w:ascii="Arial" w:hAnsi="Arial" w:cs="Arial"/>
          <w:sz w:val="22"/>
          <w:szCs w:val="22"/>
        </w:rPr>
      </w:pPr>
      <w:r w:rsidRPr="002D3783">
        <w:rPr>
          <w:rFonts w:ascii="Arial" w:hAnsi="Arial" w:cs="Arial"/>
          <w:sz w:val="22"/>
          <w:szCs w:val="22"/>
        </w:rPr>
        <w:t>The agency reviewed both submissions and determined they fall outside the scope of the Paperwork Reduction Act review criteria (5 CFR 1320.8(d)), which focus specifically on evaluating burden, necessity, clarity, duplication, and practical utility</w:t>
      </w:r>
      <w:r w:rsidRPr="00BA0154" w:rsidR="00770293">
        <w:rPr>
          <w:rFonts w:ascii="Arial" w:hAnsi="Arial" w:cs="Arial"/>
          <w:sz w:val="22"/>
          <w:szCs w:val="22"/>
        </w:rPr>
        <w:t>.</w:t>
      </w:r>
    </w:p>
    <w:p w:rsidR="00FA14F6" w:rsidRPr="00BA0154" w:rsidP="00FA14F6" w14:paraId="4C491111" w14:textId="77777777">
      <w:pPr>
        <w:tabs>
          <w:tab w:val="left" w:pos="-1080"/>
          <w:tab w:val="left" w:pos="-720"/>
          <w:tab w:val="left" w:pos="360"/>
          <w:tab w:val="left" w:pos="720"/>
        </w:tabs>
        <w:rPr>
          <w:rFonts w:ascii="Arial" w:hAnsi="Arial" w:cs="Arial"/>
          <w:sz w:val="22"/>
          <w:szCs w:val="22"/>
        </w:rPr>
      </w:pPr>
    </w:p>
    <w:p w:rsidR="00FA14F6" w:rsidRPr="00BA0154" w:rsidP="00020495" w14:paraId="77599238" w14:textId="77777777">
      <w:pPr>
        <w:pStyle w:val="BodyText"/>
        <w:ind w:left="360"/>
        <w:rPr>
          <w:rFonts w:cs="Arial"/>
        </w:rPr>
      </w:pPr>
    </w:p>
    <w:p w:rsidR="006B4C93" w:rsidRPr="00BA0154" w:rsidP="00FA14F6" w14:paraId="2DEE5827" w14:textId="3EDE3663">
      <w:pPr>
        <w:tabs>
          <w:tab w:val="left" w:pos="360"/>
          <w:tab w:val="left" w:pos="720"/>
          <w:tab w:val="left" w:pos="1440"/>
        </w:tabs>
        <w:rPr>
          <w:rFonts w:ascii="Arial" w:hAnsi="Arial" w:cs="Arial"/>
          <w:sz w:val="22"/>
          <w:szCs w:val="22"/>
        </w:rPr>
      </w:pPr>
      <w:r w:rsidRPr="006B4C93">
        <w:rPr>
          <w:rFonts w:ascii="Arial" w:hAnsi="Arial" w:cs="Arial"/>
          <w:sz w:val="22"/>
          <w:szCs w:val="22"/>
        </w:rPr>
        <w:t>To obtain feedback on the clarity of instructions, the burden and frequency of reporting, the usefulness of collected data, and opportunities to streamline logistics, we conducted outreach to multiple Water Resources Research Institutes. Respondents consistently stated that the annual reporting requirements are generally clear and manageable, and the information requested is relevant for program reporting, partner engagement, and decision-making. Several respondents noted challenges with the 1:1 federal–non</w:t>
      </w:r>
      <w:r w:rsidRPr="006B4C93">
        <w:rPr>
          <w:rFonts w:ascii="Cambria Math" w:hAnsi="Cambria Math" w:cs="Cambria Math"/>
          <w:sz w:val="22"/>
          <w:szCs w:val="22"/>
        </w:rPr>
        <w:t>‑</w:t>
      </w:r>
      <w:r w:rsidRPr="006B4C93">
        <w:rPr>
          <w:rFonts w:ascii="Arial" w:hAnsi="Arial" w:cs="Arial"/>
          <w:sz w:val="22"/>
          <w:szCs w:val="22"/>
        </w:rPr>
        <w:t xml:space="preserve">federal match reporting, particularly when fiscal-year reporting periods do not align with grant </w:t>
      </w:r>
      <w:r w:rsidRPr="006B4C93" w:rsidR="007D5E63">
        <w:rPr>
          <w:rFonts w:ascii="Arial" w:hAnsi="Arial" w:cs="Arial"/>
          <w:sz w:val="22"/>
          <w:szCs w:val="22"/>
        </w:rPr>
        <w:t>periods and</w:t>
      </w:r>
      <w:r w:rsidRPr="006B4C93">
        <w:rPr>
          <w:rFonts w:ascii="Arial" w:hAnsi="Arial" w:cs="Arial"/>
          <w:sz w:val="22"/>
          <w:szCs w:val="22"/>
        </w:rPr>
        <w:t xml:space="preserve"> recommended clearer advance guidance and better alignment of reporting cycles. Some respondents expressed that while the reporting frequency is reasonable, the time required can be significant given the level of detail requested relative to funding amounts. Others suggested improvements including the creation of an online reporting system that stores historical project information, the ability to mark continuation projects and pre-populate unchanged fields, improved clarity around reporting timelines, providing examples of strong reports, and offering lists of common reporting errors. Overall, respondents considered the data elements appropriate and valued the opportunity to provide feedback to improve logistical efficiency.</w:t>
      </w:r>
    </w:p>
    <w:p w:rsidR="00FA14F6" w:rsidRPr="00BA0154" w:rsidP="00FA14F6" w14:paraId="0E00F634" w14:textId="77777777">
      <w:pPr>
        <w:tabs>
          <w:tab w:val="left" w:pos="360"/>
          <w:tab w:val="left" w:pos="720"/>
          <w:tab w:val="left" w:pos="1440"/>
        </w:tabs>
        <w:rPr>
          <w:rFonts w:ascii="Arial" w:hAnsi="Arial" w:cs="Arial"/>
          <w:sz w:val="22"/>
          <w:szCs w:val="22"/>
        </w:rPr>
      </w:pPr>
    </w:p>
    <w:p w:rsidR="00FA14F6" w:rsidRPr="00BA0154" w:rsidP="00FA14F6" w14:paraId="38C58929" w14:textId="046C9582">
      <w:pPr>
        <w:tabs>
          <w:tab w:val="left" w:pos="360"/>
          <w:tab w:val="left" w:pos="720"/>
          <w:tab w:val="left" w:pos="1440"/>
        </w:tabs>
        <w:rPr>
          <w:rFonts w:ascii="Arial" w:hAnsi="Arial" w:cs="Arial"/>
          <w:b/>
          <w:sz w:val="22"/>
          <w:szCs w:val="22"/>
        </w:rPr>
      </w:pPr>
      <w:r w:rsidRPr="00BA0154">
        <w:rPr>
          <w:rFonts w:ascii="Arial" w:hAnsi="Arial" w:cs="Arial"/>
          <w:b/>
          <w:sz w:val="22"/>
          <w:szCs w:val="22"/>
        </w:rPr>
        <w:t>Table 8.1</w:t>
      </w:r>
    </w:p>
    <w:tbl>
      <w:tblPr>
        <w:tblStyle w:val="TableGrid"/>
        <w:tblW w:w="0" w:type="auto"/>
        <w:tblInd w:w="198" w:type="dxa"/>
        <w:tblLook w:val="04A0"/>
      </w:tblPr>
      <w:tblGrid>
        <w:gridCol w:w="4774"/>
        <w:gridCol w:w="4604"/>
      </w:tblGrid>
      <w:tr w14:paraId="5F88398E" w14:textId="77777777" w:rsidTr="00020495">
        <w:tblPrEx>
          <w:tblW w:w="0" w:type="auto"/>
          <w:tblInd w:w="198" w:type="dxa"/>
          <w:tblLook w:val="04A0"/>
        </w:tblPrEx>
        <w:tc>
          <w:tcPr>
            <w:tcW w:w="4774" w:type="dxa"/>
            <w:shd w:val="clear" w:color="auto" w:fill="D9D9D9"/>
          </w:tcPr>
          <w:p w:rsidR="00FA14F6" w:rsidRPr="00BA0154" w:rsidP="00FF1D53" w14:paraId="0D2BB8B9" w14:textId="77777777">
            <w:pPr>
              <w:tabs>
                <w:tab w:val="left" w:pos="360"/>
                <w:tab w:val="left" w:pos="720"/>
                <w:tab w:val="left" w:pos="1440"/>
              </w:tabs>
              <w:jc w:val="center"/>
              <w:rPr>
                <w:rFonts w:ascii="Arial" w:hAnsi="Arial" w:cs="Arial"/>
                <w:b/>
                <w:sz w:val="22"/>
                <w:szCs w:val="22"/>
              </w:rPr>
            </w:pPr>
            <w:r w:rsidRPr="00BA0154">
              <w:rPr>
                <w:rFonts w:ascii="Arial" w:hAnsi="Arial" w:cs="Arial"/>
                <w:b/>
                <w:sz w:val="22"/>
                <w:szCs w:val="22"/>
              </w:rPr>
              <w:t>Organization</w:t>
            </w:r>
          </w:p>
        </w:tc>
        <w:tc>
          <w:tcPr>
            <w:tcW w:w="4604" w:type="dxa"/>
            <w:shd w:val="clear" w:color="auto" w:fill="D9D9D9"/>
          </w:tcPr>
          <w:p w:rsidR="00FA14F6" w:rsidRPr="00BA0154" w:rsidP="00FF1D53" w14:paraId="615A47FA" w14:textId="77777777">
            <w:pPr>
              <w:tabs>
                <w:tab w:val="left" w:pos="360"/>
                <w:tab w:val="left" w:pos="720"/>
                <w:tab w:val="left" w:pos="1440"/>
              </w:tabs>
              <w:jc w:val="center"/>
              <w:rPr>
                <w:rFonts w:ascii="Arial" w:hAnsi="Arial" w:cs="Arial"/>
                <w:b/>
                <w:sz w:val="22"/>
                <w:szCs w:val="22"/>
              </w:rPr>
            </w:pPr>
            <w:r w:rsidRPr="00BA0154">
              <w:rPr>
                <w:rFonts w:ascii="Arial" w:hAnsi="Arial" w:cs="Arial"/>
                <w:b/>
                <w:sz w:val="22"/>
                <w:szCs w:val="22"/>
              </w:rPr>
              <w:t>Title</w:t>
            </w:r>
          </w:p>
        </w:tc>
      </w:tr>
      <w:tr w14:paraId="65ADCECE" w14:textId="77777777" w:rsidTr="00020495">
        <w:tblPrEx>
          <w:tblW w:w="0" w:type="auto"/>
          <w:tblInd w:w="198" w:type="dxa"/>
          <w:tblLook w:val="04A0"/>
        </w:tblPrEx>
        <w:tc>
          <w:tcPr>
            <w:tcW w:w="4774" w:type="dxa"/>
          </w:tcPr>
          <w:p w:rsidR="00FA14F6" w:rsidRPr="00BA0154" w:rsidP="00FF1D53" w14:paraId="0814E078" w14:textId="77777777">
            <w:pPr>
              <w:tabs>
                <w:tab w:val="left" w:pos="360"/>
                <w:tab w:val="left" w:pos="720"/>
                <w:tab w:val="left" w:pos="1440"/>
              </w:tabs>
              <w:rPr>
                <w:rFonts w:ascii="Arial" w:hAnsi="Arial" w:cs="Arial"/>
                <w:sz w:val="22"/>
                <w:szCs w:val="22"/>
              </w:rPr>
            </w:pPr>
            <w:r w:rsidRPr="008155B3">
              <w:rPr>
                <w:rFonts w:ascii="Arial" w:hAnsi="Arial" w:cs="Arial"/>
                <w:sz w:val="22"/>
                <w:szCs w:val="22"/>
              </w:rPr>
              <w:t>Illinois Water Resources Research Institute</w:t>
            </w:r>
          </w:p>
        </w:tc>
        <w:tc>
          <w:tcPr>
            <w:tcW w:w="4604" w:type="dxa"/>
          </w:tcPr>
          <w:p w:rsidR="00FA14F6" w:rsidRPr="00BA0154" w:rsidP="00FF1D53" w14:paraId="23F413F1" w14:textId="77777777">
            <w:pPr>
              <w:tabs>
                <w:tab w:val="left" w:pos="360"/>
                <w:tab w:val="left" w:pos="720"/>
                <w:tab w:val="left" w:pos="1440"/>
              </w:tabs>
              <w:rPr>
                <w:rFonts w:ascii="Arial" w:hAnsi="Arial" w:cs="Arial"/>
                <w:sz w:val="22"/>
                <w:szCs w:val="22"/>
              </w:rPr>
            </w:pPr>
            <w:r w:rsidRPr="003E35A4">
              <w:rPr>
                <w:rFonts w:ascii="Arial" w:hAnsi="Arial" w:cs="Arial"/>
                <w:sz w:val="22"/>
                <w:szCs w:val="22"/>
              </w:rPr>
              <w:t>Institute Representative</w:t>
            </w:r>
          </w:p>
        </w:tc>
      </w:tr>
      <w:tr w14:paraId="76BB8960" w14:textId="77777777" w:rsidTr="00020495">
        <w:tblPrEx>
          <w:tblW w:w="0" w:type="auto"/>
          <w:tblInd w:w="198" w:type="dxa"/>
          <w:tblLook w:val="04A0"/>
        </w:tblPrEx>
        <w:tc>
          <w:tcPr>
            <w:tcW w:w="4774" w:type="dxa"/>
          </w:tcPr>
          <w:p w:rsidR="00FA14F6" w:rsidRPr="00BA0154" w:rsidP="00FF1D53" w14:paraId="57E38EE6" w14:textId="77777777">
            <w:pPr>
              <w:tabs>
                <w:tab w:val="left" w:pos="360"/>
                <w:tab w:val="left" w:pos="720"/>
                <w:tab w:val="left" w:pos="1440"/>
              </w:tabs>
              <w:rPr>
                <w:rFonts w:ascii="Arial" w:hAnsi="Arial" w:cs="Arial"/>
                <w:sz w:val="22"/>
                <w:szCs w:val="22"/>
              </w:rPr>
            </w:pPr>
            <w:r w:rsidRPr="00BE28A7">
              <w:rPr>
                <w:rFonts w:ascii="Arial" w:hAnsi="Arial" w:cs="Arial"/>
                <w:sz w:val="22"/>
                <w:szCs w:val="22"/>
              </w:rPr>
              <w:t>New York Water Resources Research Institute</w:t>
            </w:r>
          </w:p>
        </w:tc>
        <w:tc>
          <w:tcPr>
            <w:tcW w:w="4604" w:type="dxa"/>
          </w:tcPr>
          <w:p w:rsidR="00FA14F6" w:rsidRPr="00BA0154" w:rsidP="00FF1D53" w14:paraId="4FEDF422" w14:textId="77777777">
            <w:pPr>
              <w:tabs>
                <w:tab w:val="left" w:pos="360"/>
                <w:tab w:val="left" w:pos="720"/>
                <w:tab w:val="left" w:pos="1440"/>
              </w:tabs>
              <w:rPr>
                <w:rFonts w:ascii="Arial" w:hAnsi="Arial" w:cs="Arial"/>
                <w:sz w:val="22"/>
                <w:szCs w:val="22"/>
              </w:rPr>
            </w:pPr>
            <w:r w:rsidRPr="003E35A4">
              <w:rPr>
                <w:rFonts w:ascii="Arial" w:hAnsi="Arial" w:cs="Arial"/>
                <w:sz w:val="22"/>
                <w:szCs w:val="22"/>
              </w:rPr>
              <w:t>Institute Representative</w:t>
            </w:r>
          </w:p>
        </w:tc>
      </w:tr>
      <w:tr w14:paraId="1799BFC2" w14:textId="77777777" w:rsidTr="00020495">
        <w:tblPrEx>
          <w:tblW w:w="0" w:type="auto"/>
          <w:tblInd w:w="198" w:type="dxa"/>
          <w:tblLook w:val="04A0"/>
        </w:tblPrEx>
        <w:tc>
          <w:tcPr>
            <w:tcW w:w="4774" w:type="dxa"/>
          </w:tcPr>
          <w:p w:rsidR="00FA14F6" w:rsidRPr="00BA0154" w:rsidP="00FF1D53" w14:paraId="13921D97" w14:textId="77777777">
            <w:pPr>
              <w:tabs>
                <w:tab w:val="left" w:pos="360"/>
                <w:tab w:val="left" w:pos="720"/>
                <w:tab w:val="left" w:pos="1440"/>
              </w:tabs>
              <w:rPr>
                <w:rFonts w:ascii="Arial" w:hAnsi="Arial" w:cs="Arial"/>
                <w:sz w:val="22"/>
                <w:szCs w:val="22"/>
              </w:rPr>
            </w:pPr>
            <w:r w:rsidRPr="00BE28A7">
              <w:rPr>
                <w:rFonts w:ascii="Arial" w:hAnsi="Arial" w:cs="Arial"/>
                <w:sz w:val="22"/>
                <w:szCs w:val="22"/>
              </w:rPr>
              <w:t>Colorado Water Resources Research Institute</w:t>
            </w:r>
          </w:p>
        </w:tc>
        <w:tc>
          <w:tcPr>
            <w:tcW w:w="4604" w:type="dxa"/>
          </w:tcPr>
          <w:p w:rsidR="00FA14F6" w:rsidRPr="00BA0154" w:rsidP="00FF1D53" w14:paraId="6785EB1E" w14:textId="77777777">
            <w:pPr>
              <w:tabs>
                <w:tab w:val="left" w:pos="360"/>
                <w:tab w:val="left" w:pos="720"/>
                <w:tab w:val="left" w:pos="1440"/>
              </w:tabs>
              <w:rPr>
                <w:rFonts w:ascii="Arial" w:hAnsi="Arial" w:cs="Arial"/>
                <w:sz w:val="22"/>
                <w:szCs w:val="22"/>
              </w:rPr>
            </w:pPr>
            <w:r w:rsidRPr="003E35A4">
              <w:rPr>
                <w:rFonts w:ascii="Arial" w:hAnsi="Arial" w:cs="Arial"/>
                <w:sz w:val="22"/>
                <w:szCs w:val="22"/>
              </w:rPr>
              <w:t>Institute Representative</w:t>
            </w:r>
          </w:p>
        </w:tc>
      </w:tr>
      <w:tr w14:paraId="1165FFFE" w14:textId="77777777" w:rsidTr="00020495">
        <w:tblPrEx>
          <w:tblW w:w="0" w:type="auto"/>
          <w:tblInd w:w="198" w:type="dxa"/>
          <w:tblLook w:val="04A0"/>
        </w:tblPrEx>
        <w:tc>
          <w:tcPr>
            <w:tcW w:w="4774" w:type="dxa"/>
          </w:tcPr>
          <w:p w:rsidR="00FA14F6" w:rsidRPr="00BA0154" w:rsidP="00FF1D53" w14:paraId="005E3180" w14:textId="77777777">
            <w:pPr>
              <w:tabs>
                <w:tab w:val="left" w:pos="360"/>
                <w:tab w:val="left" w:pos="720"/>
                <w:tab w:val="left" w:pos="1440"/>
              </w:tabs>
              <w:rPr>
                <w:rFonts w:ascii="Arial" w:hAnsi="Arial" w:cs="Arial"/>
                <w:sz w:val="22"/>
                <w:szCs w:val="22"/>
              </w:rPr>
            </w:pPr>
            <w:r w:rsidRPr="00BE28A7">
              <w:rPr>
                <w:rFonts w:ascii="Arial" w:hAnsi="Arial" w:cs="Arial"/>
                <w:sz w:val="22"/>
                <w:szCs w:val="22"/>
              </w:rPr>
              <w:t>Weaver Water Resources Research Institute</w:t>
            </w:r>
          </w:p>
        </w:tc>
        <w:tc>
          <w:tcPr>
            <w:tcW w:w="4604" w:type="dxa"/>
          </w:tcPr>
          <w:p w:rsidR="00FA14F6" w:rsidRPr="00BA0154" w:rsidP="00FF1D53" w14:paraId="389D9B92" w14:textId="77777777">
            <w:pPr>
              <w:tabs>
                <w:tab w:val="left" w:pos="360"/>
                <w:tab w:val="left" w:pos="720"/>
                <w:tab w:val="left" w:pos="1440"/>
              </w:tabs>
              <w:rPr>
                <w:rFonts w:ascii="Arial" w:hAnsi="Arial" w:cs="Arial"/>
                <w:sz w:val="22"/>
                <w:szCs w:val="22"/>
              </w:rPr>
            </w:pPr>
            <w:r w:rsidRPr="003E35A4">
              <w:rPr>
                <w:rFonts w:ascii="Arial" w:hAnsi="Arial" w:cs="Arial"/>
                <w:sz w:val="22"/>
                <w:szCs w:val="22"/>
              </w:rPr>
              <w:t>Institute Representative</w:t>
            </w:r>
          </w:p>
        </w:tc>
      </w:tr>
      <w:tr w14:paraId="16CC453D" w14:textId="77777777" w:rsidTr="00020495">
        <w:tblPrEx>
          <w:tblW w:w="0" w:type="auto"/>
          <w:tblInd w:w="198" w:type="dxa"/>
          <w:tblLook w:val="04A0"/>
        </w:tblPrEx>
        <w:tc>
          <w:tcPr>
            <w:tcW w:w="4774" w:type="dxa"/>
          </w:tcPr>
          <w:p w:rsidR="00FA14F6" w:rsidRPr="00BA0154" w:rsidP="00FF1D53" w14:paraId="111A6DDF" w14:textId="77777777">
            <w:pPr>
              <w:tabs>
                <w:tab w:val="left" w:pos="360"/>
                <w:tab w:val="left" w:pos="720"/>
                <w:tab w:val="left" w:pos="1440"/>
              </w:tabs>
              <w:rPr>
                <w:rFonts w:ascii="Arial" w:hAnsi="Arial" w:cs="Arial"/>
                <w:sz w:val="22"/>
                <w:szCs w:val="22"/>
              </w:rPr>
            </w:pPr>
          </w:p>
        </w:tc>
        <w:tc>
          <w:tcPr>
            <w:tcW w:w="4604" w:type="dxa"/>
          </w:tcPr>
          <w:p w:rsidR="00FA14F6" w:rsidRPr="00BA0154" w:rsidP="00FF1D53" w14:paraId="3DF5B923" w14:textId="77777777">
            <w:pPr>
              <w:tabs>
                <w:tab w:val="left" w:pos="360"/>
                <w:tab w:val="left" w:pos="720"/>
                <w:tab w:val="left" w:pos="1440"/>
              </w:tabs>
              <w:rPr>
                <w:rFonts w:ascii="Arial" w:hAnsi="Arial" w:cs="Arial"/>
                <w:sz w:val="22"/>
                <w:szCs w:val="22"/>
              </w:rPr>
            </w:pPr>
          </w:p>
        </w:tc>
      </w:tr>
      <w:tr w14:paraId="0AB4E8DF" w14:textId="77777777" w:rsidTr="00020495">
        <w:tblPrEx>
          <w:tblW w:w="0" w:type="auto"/>
          <w:tblInd w:w="198" w:type="dxa"/>
          <w:tblLook w:val="04A0"/>
        </w:tblPrEx>
        <w:tc>
          <w:tcPr>
            <w:tcW w:w="4774" w:type="dxa"/>
          </w:tcPr>
          <w:p w:rsidR="00FA14F6" w:rsidRPr="00BA0154" w:rsidP="00FF1D53" w14:paraId="3589009D" w14:textId="77777777">
            <w:pPr>
              <w:tabs>
                <w:tab w:val="left" w:pos="360"/>
                <w:tab w:val="left" w:pos="720"/>
                <w:tab w:val="left" w:pos="1440"/>
              </w:tabs>
              <w:rPr>
                <w:rFonts w:ascii="Arial" w:hAnsi="Arial" w:cs="Arial"/>
                <w:sz w:val="22"/>
                <w:szCs w:val="22"/>
              </w:rPr>
            </w:pPr>
          </w:p>
        </w:tc>
        <w:tc>
          <w:tcPr>
            <w:tcW w:w="4604" w:type="dxa"/>
          </w:tcPr>
          <w:p w:rsidR="00FA14F6" w:rsidRPr="00BA0154" w:rsidP="00FF1D53" w14:paraId="63E95D80" w14:textId="77777777">
            <w:pPr>
              <w:tabs>
                <w:tab w:val="left" w:pos="360"/>
                <w:tab w:val="left" w:pos="720"/>
                <w:tab w:val="left" w:pos="1440"/>
              </w:tabs>
              <w:rPr>
                <w:rFonts w:ascii="Arial" w:hAnsi="Arial" w:cs="Arial"/>
                <w:sz w:val="22"/>
                <w:szCs w:val="22"/>
              </w:rPr>
            </w:pPr>
          </w:p>
        </w:tc>
      </w:tr>
      <w:tr w14:paraId="7990A9F7" w14:textId="77777777" w:rsidTr="00020495">
        <w:tblPrEx>
          <w:tblW w:w="0" w:type="auto"/>
          <w:tblInd w:w="198" w:type="dxa"/>
          <w:tblLook w:val="04A0"/>
        </w:tblPrEx>
        <w:tc>
          <w:tcPr>
            <w:tcW w:w="4774" w:type="dxa"/>
          </w:tcPr>
          <w:p w:rsidR="00FA14F6" w:rsidRPr="00BA0154" w:rsidP="00FF1D53" w14:paraId="59565FAB" w14:textId="77777777">
            <w:pPr>
              <w:tabs>
                <w:tab w:val="left" w:pos="360"/>
                <w:tab w:val="left" w:pos="720"/>
                <w:tab w:val="left" w:pos="1440"/>
              </w:tabs>
              <w:rPr>
                <w:rFonts w:ascii="Arial" w:hAnsi="Arial" w:cs="Arial"/>
                <w:sz w:val="22"/>
                <w:szCs w:val="22"/>
              </w:rPr>
            </w:pPr>
          </w:p>
        </w:tc>
        <w:tc>
          <w:tcPr>
            <w:tcW w:w="4604" w:type="dxa"/>
          </w:tcPr>
          <w:p w:rsidR="00FA14F6" w:rsidRPr="00BA0154" w:rsidP="00FF1D53" w14:paraId="61A106D9" w14:textId="77777777">
            <w:pPr>
              <w:tabs>
                <w:tab w:val="left" w:pos="360"/>
                <w:tab w:val="left" w:pos="720"/>
                <w:tab w:val="left" w:pos="1440"/>
              </w:tabs>
              <w:rPr>
                <w:rFonts w:ascii="Arial" w:hAnsi="Arial" w:cs="Arial"/>
                <w:sz w:val="22"/>
                <w:szCs w:val="22"/>
              </w:rPr>
            </w:pPr>
          </w:p>
        </w:tc>
      </w:tr>
      <w:tr w14:paraId="2F3BBA1D" w14:textId="77777777" w:rsidTr="00020495">
        <w:tblPrEx>
          <w:tblW w:w="0" w:type="auto"/>
          <w:tblInd w:w="198" w:type="dxa"/>
          <w:tblLook w:val="04A0"/>
        </w:tblPrEx>
        <w:tc>
          <w:tcPr>
            <w:tcW w:w="4774" w:type="dxa"/>
          </w:tcPr>
          <w:p w:rsidR="00FA14F6" w:rsidRPr="00BA0154" w:rsidP="00FF1D53" w14:paraId="3DD56197" w14:textId="77777777">
            <w:pPr>
              <w:tabs>
                <w:tab w:val="left" w:pos="360"/>
                <w:tab w:val="left" w:pos="720"/>
                <w:tab w:val="left" w:pos="1440"/>
              </w:tabs>
              <w:rPr>
                <w:rFonts w:ascii="Arial" w:hAnsi="Arial" w:cs="Arial"/>
                <w:sz w:val="22"/>
                <w:szCs w:val="22"/>
              </w:rPr>
            </w:pPr>
          </w:p>
        </w:tc>
        <w:tc>
          <w:tcPr>
            <w:tcW w:w="4604" w:type="dxa"/>
          </w:tcPr>
          <w:p w:rsidR="00FA14F6" w:rsidRPr="00BA0154" w:rsidP="00FF1D53" w14:paraId="3E0DB73F" w14:textId="77777777">
            <w:pPr>
              <w:tabs>
                <w:tab w:val="left" w:pos="360"/>
                <w:tab w:val="left" w:pos="720"/>
                <w:tab w:val="left" w:pos="1440"/>
              </w:tabs>
              <w:rPr>
                <w:rFonts w:ascii="Arial" w:hAnsi="Arial" w:cs="Arial"/>
                <w:sz w:val="22"/>
                <w:szCs w:val="22"/>
              </w:rPr>
            </w:pPr>
          </w:p>
        </w:tc>
      </w:tr>
      <w:tr w14:paraId="25EAD8CE" w14:textId="77777777" w:rsidTr="00020495">
        <w:tblPrEx>
          <w:tblW w:w="0" w:type="auto"/>
          <w:tblInd w:w="198" w:type="dxa"/>
          <w:tblLook w:val="04A0"/>
        </w:tblPrEx>
        <w:tc>
          <w:tcPr>
            <w:tcW w:w="4774" w:type="dxa"/>
          </w:tcPr>
          <w:p w:rsidR="00FA14F6" w:rsidRPr="00BA0154" w:rsidP="00FF1D53" w14:paraId="215FB64A" w14:textId="77777777">
            <w:pPr>
              <w:tabs>
                <w:tab w:val="left" w:pos="360"/>
                <w:tab w:val="left" w:pos="720"/>
                <w:tab w:val="left" w:pos="1440"/>
              </w:tabs>
              <w:rPr>
                <w:rFonts w:ascii="Arial" w:hAnsi="Arial" w:cs="Arial"/>
                <w:sz w:val="22"/>
                <w:szCs w:val="22"/>
              </w:rPr>
            </w:pPr>
          </w:p>
        </w:tc>
        <w:tc>
          <w:tcPr>
            <w:tcW w:w="4604" w:type="dxa"/>
          </w:tcPr>
          <w:p w:rsidR="00FA14F6" w:rsidRPr="00BA0154" w:rsidP="00FF1D53" w14:paraId="6FE100DC" w14:textId="77777777">
            <w:pPr>
              <w:tabs>
                <w:tab w:val="left" w:pos="360"/>
                <w:tab w:val="left" w:pos="720"/>
                <w:tab w:val="left" w:pos="1440"/>
              </w:tabs>
              <w:rPr>
                <w:rFonts w:ascii="Arial" w:hAnsi="Arial" w:cs="Arial"/>
                <w:sz w:val="22"/>
                <w:szCs w:val="22"/>
              </w:rPr>
            </w:pPr>
          </w:p>
        </w:tc>
      </w:tr>
    </w:tbl>
    <w:p w:rsidR="00FA14F6" w:rsidRPr="00BA0154" w:rsidP="00FA14F6" w14:paraId="3D8C2B6E" w14:textId="77777777">
      <w:pPr>
        <w:tabs>
          <w:tab w:val="left" w:pos="360"/>
          <w:tab w:val="left" w:pos="720"/>
          <w:tab w:val="left" w:pos="1440"/>
        </w:tabs>
        <w:rPr>
          <w:rFonts w:ascii="Arial" w:hAnsi="Arial" w:cs="Arial"/>
          <w:sz w:val="22"/>
          <w:szCs w:val="22"/>
        </w:rPr>
      </w:pPr>
    </w:p>
    <w:p w:rsidR="00FA14F6" w:rsidRPr="00BA0154" w:rsidP="00FA14F6" w14:paraId="5484B9BC" w14:textId="77777777">
      <w:pPr>
        <w:tabs>
          <w:tab w:val="left" w:pos="-1080"/>
          <w:tab w:val="left" w:pos="-720"/>
          <w:tab w:val="left" w:pos="360"/>
          <w:tab w:val="left" w:pos="720"/>
        </w:tabs>
        <w:rPr>
          <w:rFonts w:ascii="Arial" w:hAnsi="Arial" w:cs="Arial"/>
          <w:sz w:val="22"/>
          <w:szCs w:val="22"/>
        </w:rPr>
      </w:pPr>
    </w:p>
    <w:p w:rsidR="00FA14F6" w:rsidRPr="00BA0154" w:rsidP="00FA14F6" w14:paraId="02D64661" w14:textId="77777777">
      <w:pPr>
        <w:tabs>
          <w:tab w:val="left" w:pos="-1080"/>
          <w:tab w:val="left" w:pos="-720"/>
          <w:tab w:val="left" w:pos="360"/>
          <w:tab w:val="left" w:pos="720"/>
        </w:tabs>
        <w:rPr>
          <w:rFonts w:ascii="Arial" w:hAnsi="Arial" w:cs="Arial"/>
          <w:b/>
          <w:sz w:val="22"/>
          <w:szCs w:val="22"/>
        </w:rPr>
      </w:pPr>
      <w:r w:rsidRPr="00BA0154">
        <w:rPr>
          <w:rFonts w:ascii="Arial" w:hAnsi="Arial" w:cs="Arial"/>
          <w:b/>
          <w:sz w:val="22"/>
          <w:szCs w:val="22"/>
        </w:rPr>
        <w:t>9.</w:t>
      </w:r>
      <w:r w:rsidRPr="00BA0154">
        <w:rPr>
          <w:rFonts w:ascii="Arial" w:hAnsi="Arial" w:cs="Arial"/>
          <w:b/>
          <w:sz w:val="22"/>
          <w:szCs w:val="22"/>
        </w:rPr>
        <w:tab/>
        <w:t>Explain any decision to provide any payment or gift to respondents, other than remuneration of contractors or grantees.</w:t>
      </w:r>
    </w:p>
    <w:p w:rsidR="00FA14F6" w:rsidRPr="00BA0154" w:rsidP="00FA14F6" w14:paraId="7156ABFC" w14:textId="77777777">
      <w:pPr>
        <w:tabs>
          <w:tab w:val="left" w:pos="-1080"/>
          <w:tab w:val="left" w:pos="-720"/>
          <w:tab w:val="left" w:pos="360"/>
          <w:tab w:val="left" w:pos="720"/>
        </w:tabs>
        <w:rPr>
          <w:rFonts w:ascii="Arial" w:hAnsi="Arial" w:cs="Arial"/>
          <w:sz w:val="22"/>
          <w:szCs w:val="22"/>
        </w:rPr>
      </w:pPr>
    </w:p>
    <w:p w:rsidR="00FA14F6" w:rsidRPr="00BA0154" w:rsidP="00FA14F6" w14:paraId="2510DDF5" w14:textId="77777777">
      <w:pPr>
        <w:tabs>
          <w:tab w:val="left" w:pos="-1080"/>
          <w:tab w:val="left" w:pos="-720"/>
          <w:tab w:val="left" w:pos="360"/>
          <w:tab w:val="left" w:pos="720"/>
        </w:tabs>
        <w:rPr>
          <w:rFonts w:ascii="Arial" w:hAnsi="Arial" w:cs="Arial"/>
          <w:sz w:val="22"/>
          <w:szCs w:val="22"/>
        </w:rPr>
      </w:pPr>
      <w:r w:rsidRPr="00BA0154">
        <w:rPr>
          <w:rFonts w:ascii="Arial" w:hAnsi="Arial" w:cs="Arial"/>
          <w:sz w:val="22"/>
          <w:szCs w:val="22"/>
        </w:rPr>
        <w:t>Payments or gifts are generally not permissible.  If you are proposing to do so, provide a thorough explanation, including a justification for this action, description and monetary value of the item, and basis for the decision to take such action.</w:t>
      </w:r>
    </w:p>
    <w:p w:rsidR="00FA14F6" w:rsidRPr="00BA0154" w:rsidP="00FA14F6" w14:paraId="131FD0B4" w14:textId="77777777">
      <w:pPr>
        <w:tabs>
          <w:tab w:val="left" w:pos="-1080"/>
          <w:tab w:val="left" w:pos="-720"/>
          <w:tab w:val="left" w:pos="360"/>
          <w:tab w:val="left" w:pos="720"/>
        </w:tabs>
        <w:rPr>
          <w:rFonts w:ascii="Arial" w:hAnsi="Arial" w:cs="Arial"/>
          <w:sz w:val="22"/>
          <w:szCs w:val="22"/>
        </w:rPr>
      </w:pPr>
    </w:p>
    <w:p w:rsidR="00FA14F6" w:rsidRPr="00BA0154" w:rsidP="709F5254" w14:paraId="469654EB" w14:textId="440306FE">
      <w:pPr>
        <w:tabs>
          <w:tab w:val="left" w:pos="360"/>
          <w:tab w:val="left" w:pos="720"/>
        </w:tabs>
        <w:rPr>
          <w:rFonts w:ascii="Arial" w:hAnsi="Arial" w:cs="Arial"/>
          <w:sz w:val="22"/>
          <w:szCs w:val="22"/>
        </w:rPr>
      </w:pPr>
      <w:r w:rsidRPr="00BA0154">
        <w:rPr>
          <w:rFonts w:ascii="Arial" w:hAnsi="Arial" w:cs="Arial"/>
          <w:sz w:val="22"/>
          <w:szCs w:val="22"/>
        </w:rPr>
        <w:t>We will not provide payments or gifts to respondents.</w:t>
      </w:r>
    </w:p>
    <w:p w:rsidR="00FA14F6" w:rsidRPr="00BA0154" w:rsidP="00FA14F6" w14:paraId="104498CF" w14:textId="77777777">
      <w:pPr>
        <w:tabs>
          <w:tab w:val="left" w:pos="-1080"/>
          <w:tab w:val="left" w:pos="-720"/>
          <w:tab w:val="left" w:pos="360"/>
          <w:tab w:val="left" w:pos="720"/>
        </w:tabs>
        <w:rPr>
          <w:rFonts w:ascii="Arial" w:hAnsi="Arial" w:cs="Arial"/>
          <w:sz w:val="22"/>
          <w:szCs w:val="22"/>
        </w:rPr>
      </w:pPr>
    </w:p>
    <w:p w:rsidR="00FA14F6" w:rsidRPr="00BA0154" w:rsidP="00FA14F6" w14:paraId="32A70415" w14:textId="77777777">
      <w:pPr>
        <w:tabs>
          <w:tab w:val="left" w:pos="-1080"/>
          <w:tab w:val="left" w:pos="-720"/>
          <w:tab w:val="left" w:pos="450"/>
          <w:tab w:val="left" w:pos="720"/>
        </w:tabs>
        <w:rPr>
          <w:rFonts w:ascii="Arial" w:hAnsi="Arial" w:cs="Arial"/>
          <w:b/>
          <w:sz w:val="22"/>
          <w:szCs w:val="22"/>
        </w:rPr>
      </w:pPr>
      <w:r w:rsidRPr="00BA0154">
        <w:rPr>
          <w:rFonts w:ascii="Arial" w:hAnsi="Arial" w:cs="Arial"/>
          <w:b/>
          <w:sz w:val="22"/>
          <w:szCs w:val="22"/>
        </w:rPr>
        <w:t>10.</w:t>
      </w:r>
      <w:r w:rsidRPr="00BA0154">
        <w:rPr>
          <w:rFonts w:ascii="Arial" w:hAnsi="Arial" w:cs="Arial"/>
          <w:b/>
          <w:sz w:val="22"/>
          <w:szCs w:val="22"/>
        </w:rPr>
        <w:tab/>
        <w:t>Describe any assurance of confidentiality provided to respondents and the basis for the assurance in statute, regulation, or agency policy.</w:t>
      </w:r>
    </w:p>
    <w:p w:rsidR="00FA14F6" w:rsidRPr="00BA0154" w:rsidP="00FA14F6" w14:paraId="4C546D06" w14:textId="77777777">
      <w:pPr>
        <w:tabs>
          <w:tab w:val="left" w:pos="-1080"/>
          <w:tab w:val="left" w:pos="-720"/>
          <w:tab w:val="left" w:pos="450"/>
          <w:tab w:val="left" w:pos="720"/>
        </w:tabs>
        <w:rPr>
          <w:rFonts w:ascii="Arial" w:hAnsi="Arial" w:cs="Arial"/>
          <w:sz w:val="22"/>
          <w:szCs w:val="22"/>
        </w:rPr>
      </w:pPr>
    </w:p>
    <w:p w:rsidR="00FA14F6" w:rsidRPr="00BA0154" w:rsidP="00FA14F6" w14:paraId="5DE75F63" w14:textId="77777777">
      <w:pPr>
        <w:tabs>
          <w:tab w:val="left" w:pos="-1080"/>
          <w:tab w:val="left" w:pos="-720"/>
          <w:tab w:val="left" w:pos="450"/>
          <w:tab w:val="left" w:pos="720"/>
        </w:tabs>
        <w:rPr>
          <w:rFonts w:ascii="Arial" w:hAnsi="Arial" w:cs="Arial"/>
          <w:sz w:val="22"/>
          <w:szCs w:val="22"/>
        </w:rPr>
      </w:pPr>
      <w:r w:rsidRPr="00BA0154">
        <w:rPr>
          <w:rFonts w:ascii="Arial" w:hAnsi="Arial" w:cs="Arial"/>
          <w:sz w:val="22"/>
          <w:szCs w:val="22"/>
        </w:rPr>
        <w:t xml:space="preserve">If the Privacy Act (5 U.S.C. 552a) applies to a collection (see below), you </w:t>
      </w:r>
      <w:r w:rsidRPr="00BA0154">
        <w:rPr>
          <w:rFonts w:ascii="Arial" w:hAnsi="Arial" w:cs="Arial"/>
          <w:sz w:val="22"/>
          <w:szCs w:val="22"/>
          <w:u w:val="single"/>
        </w:rPr>
        <w:t>must</w:t>
      </w:r>
      <w:r w:rsidRPr="00BA0154">
        <w:rPr>
          <w:rFonts w:ascii="Arial" w:hAnsi="Arial" w:cs="Arial"/>
          <w:sz w:val="22"/>
          <w:szCs w:val="22"/>
        </w:rPr>
        <w:t xml:space="preserve"> contact your </w:t>
      </w:r>
      <w:hyperlink r:id="rId7" w:history="1">
        <w:r w:rsidRPr="00BA0154">
          <w:rPr>
            <w:rStyle w:val="Hyperlink"/>
            <w:rFonts w:ascii="Arial" w:hAnsi="Arial" w:cs="Arial"/>
            <w:sz w:val="22"/>
            <w:szCs w:val="22"/>
          </w:rPr>
          <w:t>DOI/Bureau Privacy Act Officer</w:t>
        </w:r>
      </w:hyperlink>
      <w:r w:rsidRPr="00BA0154">
        <w:rPr>
          <w:rFonts w:ascii="Arial" w:hAnsi="Arial" w:cs="Arial"/>
          <w:sz w:val="22"/>
          <w:szCs w:val="22"/>
        </w:rPr>
        <w:t xml:space="preserve"> as early as possible for guidance.  Electronic collection information requires review by the Privacy Act Officer to determine whether a Privacy Impact Assessment (PIA) is required.  The Privacy Act Officer must review your information collection </w:t>
      </w:r>
      <w:r w:rsidRPr="00BA0154">
        <w:rPr>
          <w:rFonts w:ascii="Arial" w:hAnsi="Arial" w:cs="Arial"/>
          <w:sz w:val="22"/>
          <w:szCs w:val="22"/>
        </w:rPr>
        <w:t>instruments to determine whether a Privacy Act Notice or Privacy Act Statement must be included on the instrument and/or website (for automated collections using the Web or other electronic means).  We recommend that the Privacy Act Officer review all existing collection instruments with Privacy Act Statements to ensure compliance with current Departmental formatting requirements.</w:t>
      </w:r>
    </w:p>
    <w:p w:rsidR="00FA14F6" w:rsidRPr="00BA0154" w:rsidP="00FA14F6" w14:paraId="10433B80" w14:textId="77777777">
      <w:pPr>
        <w:tabs>
          <w:tab w:val="left" w:pos="-1080"/>
          <w:tab w:val="left" w:pos="-720"/>
          <w:tab w:val="left" w:pos="450"/>
          <w:tab w:val="left" w:pos="720"/>
        </w:tabs>
        <w:rPr>
          <w:rFonts w:ascii="Arial" w:hAnsi="Arial" w:cs="Arial"/>
          <w:sz w:val="22"/>
          <w:szCs w:val="22"/>
        </w:rPr>
      </w:pPr>
    </w:p>
    <w:p w:rsidR="00FA14F6" w:rsidRPr="00BA0154" w:rsidP="00FA14F6" w14:paraId="7E4E4B81" w14:textId="77777777">
      <w:pPr>
        <w:tabs>
          <w:tab w:val="left" w:pos="-1080"/>
          <w:tab w:val="left" w:pos="-720"/>
          <w:tab w:val="left" w:pos="450"/>
          <w:tab w:val="left" w:pos="720"/>
        </w:tabs>
        <w:rPr>
          <w:rFonts w:ascii="Arial" w:hAnsi="Arial" w:cs="Arial"/>
          <w:sz w:val="22"/>
          <w:szCs w:val="22"/>
        </w:rPr>
      </w:pPr>
      <w:r w:rsidRPr="00BA0154">
        <w:rPr>
          <w:rFonts w:ascii="Arial" w:hAnsi="Arial" w:cs="Arial"/>
          <w:sz w:val="22"/>
          <w:szCs w:val="22"/>
        </w:rPr>
        <w:t xml:space="preserve">The Privacy Act Officer determines if an information collection is subject to the provisions of the Privacy Act and whether a Privacy Act System of Records Notice (SORN) must be published in the </w:t>
      </w:r>
      <w:r w:rsidRPr="00BA0154">
        <w:rPr>
          <w:rFonts w:ascii="Arial" w:hAnsi="Arial" w:cs="Arial"/>
          <w:i/>
          <w:sz w:val="22"/>
          <w:szCs w:val="22"/>
        </w:rPr>
        <w:t>Federal Register</w:t>
      </w:r>
      <w:r w:rsidRPr="00BA0154">
        <w:rPr>
          <w:rFonts w:ascii="Arial" w:hAnsi="Arial" w:cs="Arial"/>
          <w:sz w:val="22"/>
          <w:szCs w:val="22"/>
        </w:rPr>
        <w:t xml:space="preserve">.  The SORN describes how and where the information is stored, and how it is secured.  If your collection is covered by an existing SORN, you must include the title and publication information for the SORN (see sample response below). </w:t>
      </w:r>
    </w:p>
    <w:p w:rsidR="00FA14F6" w:rsidRPr="00BA0154" w:rsidP="00FA14F6" w14:paraId="1CB381EF" w14:textId="77777777">
      <w:pPr>
        <w:tabs>
          <w:tab w:val="left" w:pos="-1080"/>
          <w:tab w:val="left" w:pos="-720"/>
          <w:tab w:val="left" w:pos="450"/>
          <w:tab w:val="left" w:pos="720"/>
        </w:tabs>
        <w:rPr>
          <w:rFonts w:ascii="Arial" w:hAnsi="Arial" w:cs="Arial"/>
          <w:sz w:val="22"/>
          <w:szCs w:val="22"/>
        </w:rPr>
      </w:pPr>
    </w:p>
    <w:p w:rsidR="00FA14F6" w:rsidRPr="00BA0154" w:rsidP="00FA14F6" w14:paraId="2D8C8139" w14:textId="77777777">
      <w:pPr>
        <w:tabs>
          <w:tab w:val="left" w:pos="-1080"/>
          <w:tab w:val="left" w:pos="-720"/>
          <w:tab w:val="left" w:pos="450"/>
          <w:tab w:val="left" w:pos="720"/>
        </w:tabs>
        <w:rPr>
          <w:rFonts w:ascii="Arial" w:hAnsi="Arial" w:cs="Arial"/>
          <w:sz w:val="22"/>
          <w:szCs w:val="22"/>
        </w:rPr>
      </w:pPr>
      <w:r w:rsidRPr="00BA0154">
        <w:rPr>
          <w:rFonts w:ascii="Arial" w:hAnsi="Arial" w:cs="Arial"/>
          <w:sz w:val="22"/>
          <w:szCs w:val="22"/>
        </w:rPr>
        <w:t xml:space="preserve">If you promise confidentiality, you must cite a specific authority.  If there is no applicable authority, and you do plan to protect the information, please describe the management, operational, and technical safeguards, but do not state that information will be confidential.  The citation for the Privacy Act may be used as a statutory authority for confidentiality.  If there is another appropriate statutory authority in addition to the Privacy Act, it is best to cite that authority.  However, if the Privacy Act applies, compliance with the Privacy Act is still necessary (see below). </w:t>
      </w:r>
    </w:p>
    <w:p w:rsidR="00FA14F6" w:rsidRPr="00BA0154" w:rsidP="00FA14F6" w14:paraId="0246218E" w14:textId="77777777">
      <w:pPr>
        <w:tabs>
          <w:tab w:val="left" w:pos="-1080"/>
          <w:tab w:val="left" w:pos="-720"/>
          <w:tab w:val="left" w:pos="450"/>
          <w:tab w:val="left" w:pos="720"/>
        </w:tabs>
        <w:rPr>
          <w:rFonts w:ascii="Arial" w:hAnsi="Arial" w:cs="Arial"/>
          <w:sz w:val="22"/>
          <w:szCs w:val="22"/>
        </w:rPr>
      </w:pPr>
    </w:p>
    <w:p w:rsidR="00FA14F6" w:rsidRPr="00BA0154" w:rsidP="00FA14F6" w14:paraId="578200C1" w14:textId="77777777">
      <w:pPr>
        <w:tabs>
          <w:tab w:val="left" w:pos="-1080"/>
          <w:tab w:val="left" w:pos="-720"/>
          <w:tab w:val="left" w:pos="450"/>
          <w:tab w:val="left" w:pos="720"/>
        </w:tabs>
        <w:rPr>
          <w:rFonts w:ascii="Arial" w:hAnsi="Arial" w:cs="Arial"/>
          <w:sz w:val="22"/>
          <w:szCs w:val="22"/>
        </w:rPr>
      </w:pPr>
      <w:r w:rsidRPr="00BA0154">
        <w:rPr>
          <w:rFonts w:ascii="Arial" w:hAnsi="Arial" w:cs="Arial"/>
          <w:sz w:val="22"/>
          <w:szCs w:val="22"/>
        </w:rPr>
        <w:t>The Privacy Act generally applies if records will be primarily retrieved by personally identifiable information, e.g., name, social security number (SSN), or date of birth.  The Privacy Act “governs the collection, maintenance, and disclosure of information from or about identifiable individuals (not statistical or aggregate information).”  For these purposes, corporations are not considered to be individuals, but people acting as or for corporations are still considered individuals.  Also, if a business does not have an employer identification number (EIN) and must supply an SSN, the SSN requires protection under the Privacy Act.</w:t>
      </w:r>
    </w:p>
    <w:p w:rsidR="00FA14F6" w:rsidRPr="00BA0154" w:rsidP="00FA14F6" w14:paraId="3163C07C" w14:textId="77777777">
      <w:pPr>
        <w:tabs>
          <w:tab w:val="left" w:pos="-1080"/>
          <w:tab w:val="left" w:pos="-720"/>
          <w:tab w:val="left" w:pos="450"/>
          <w:tab w:val="left" w:pos="720"/>
        </w:tabs>
        <w:rPr>
          <w:rFonts w:ascii="Arial" w:hAnsi="Arial" w:cs="Arial"/>
          <w:sz w:val="22"/>
          <w:szCs w:val="22"/>
        </w:rPr>
      </w:pPr>
    </w:p>
    <w:p w:rsidR="00FA14F6" w:rsidRPr="00BA0154" w:rsidP="00FA14F6" w14:paraId="5ADC33C1" w14:textId="77777777">
      <w:pPr>
        <w:tabs>
          <w:tab w:val="left" w:pos="-1080"/>
          <w:tab w:val="left" w:pos="-720"/>
          <w:tab w:val="left" w:pos="450"/>
          <w:tab w:val="left" w:pos="720"/>
        </w:tabs>
        <w:rPr>
          <w:rFonts w:ascii="Arial" w:hAnsi="Arial" w:cs="Arial"/>
          <w:sz w:val="22"/>
          <w:szCs w:val="22"/>
        </w:rPr>
      </w:pPr>
      <w:r w:rsidRPr="00BA0154">
        <w:rPr>
          <w:rFonts w:ascii="Arial" w:hAnsi="Arial" w:cs="Arial"/>
          <w:sz w:val="22"/>
          <w:szCs w:val="22"/>
        </w:rPr>
        <w:t xml:space="preserve">In accordance with OMB Memorandum </w:t>
      </w:r>
      <w:hyperlink r:id="rId8" w:history="1">
        <w:r w:rsidRPr="00BA0154">
          <w:rPr>
            <w:rStyle w:val="Hyperlink"/>
            <w:rFonts w:ascii="Arial" w:hAnsi="Arial" w:cs="Arial"/>
            <w:sz w:val="22"/>
            <w:szCs w:val="22"/>
          </w:rPr>
          <w:t>M-07-16</w:t>
        </w:r>
      </w:hyperlink>
      <w:r w:rsidRPr="00BA0154">
        <w:rPr>
          <w:rFonts w:ascii="Arial" w:hAnsi="Arial" w:cs="Arial"/>
          <w:sz w:val="22"/>
          <w:szCs w:val="22"/>
        </w:rPr>
        <w:t xml:space="preserve">, “Safeguarding Against and Responding to the Breach of Personally Identifiable Information” (dated May 22, 2007), DOI restricts the collection and use of SSNs.  However, if there is a demonstrated need for a respondent's SSN, this Privacy Act note (Section 7(a)(1)(b)) applies, </w:t>
      </w:r>
    </w:p>
    <w:p w:rsidR="00FA14F6" w:rsidRPr="00BA0154" w:rsidP="00FA14F6" w14:paraId="4CBA63BB" w14:textId="77777777">
      <w:pPr>
        <w:tabs>
          <w:tab w:val="left" w:pos="-1080"/>
          <w:tab w:val="left" w:pos="-720"/>
          <w:tab w:val="left" w:pos="450"/>
          <w:tab w:val="left" w:pos="720"/>
        </w:tabs>
        <w:rPr>
          <w:rFonts w:ascii="Arial" w:hAnsi="Arial" w:cs="Arial"/>
          <w:sz w:val="22"/>
          <w:szCs w:val="22"/>
        </w:rPr>
      </w:pPr>
    </w:p>
    <w:p w:rsidR="00FA14F6" w:rsidRPr="00BA0154" w:rsidP="00FA14F6" w14:paraId="2590D700" w14:textId="77777777">
      <w:pPr>
        <w:tabs>
          <w:tab w:val="left" w:pos="-1080"/>
          <w:tab w:val="left" w:pos="-720"/>
          <w:tab w:val="left" w:pos="450"/>
          <w:tab w:val="left" w:pos="720"/>
        </w:tabs>
        <w:ind w:left="720" w:right="720"/>
        <w:rPr>
          <w:rFonts w:ascii="Arial" w:hAnsi="Arial" w:cs="Arial"/>
          <w:i/>
          <w:sz w:val="22"/>
          <w:szCs w:val="22"/>
        </w:rPr>
      </w:pPr>
      <w:r w:rsidRPr="00BA0154">
        <w:rPr>
          <w:rFonts w:ascii="Arial" w:hAnsi="Arial" w:cs="Arial"/>
          <w:b/>
          <w:bCs/>
          <w:i/>
          <w:iCs/>
          <w:sz w:val="22"/>
          <w:szCs w:val="22"/>
        </w:rPr>
        <w:t>“</w:t>
      </w:r>
      <w:r w:rsidRPr="00BA0154">
        <w:rPr>
          <w:rFonts w:ascii="Arial" w:hAnsi="Arial" w:cs="Arial"/>
          <w:i/>
          <w:iCs/>
          <w:sz w:val="22"/>
          <w:szCs w:val="22"/>
        </w:rPr>
        <w:t>Any Federal, State, or local government agency which requests an individual to disclose his social security account number shall inform that individual whether that disclosure is mandatory or voluntary, by what statutory or other authority such number is solicited, and what uses will be made of it.”</w:t>
      </w:r>
    </w:p>
    <w:p w:rsidR="00FA14F6" w:rsidRPr="00BA0154" w:rsidP="709F5254" w14:paraId="10E30E14" w14:textId="7DF5E91F">
      <w:pPr>
        <w:widowControl/>
        <w:rPr>
          <w:rFonts w:ascii="Arial" w:eastAsia="Arial" w:hAnsi="Arial" w:cs="Arial"/>
          <w:sz w:val="22"/>
          <w:szCs w:val="22"/>
        </w:rPr>
      </w:pPr>
      <w:r w:rsidRPr="00BA0154">
        <w:rPr>
          <w:rFonts w:ascii="Arial" w:hAnsi="Arial" w:cs="Arial"/>
          <w:color w:val="000000" w:themeColor="text1"/>
          <w:sz w:val="22"/>
          <w:szCs w:val="22"/>
        </w:rPr>
        <w:t>No assurance of confidentiality is given to respondents. We will protect information from under the Freedom of Information Act (5 U.S.C. 552) and implementing regulations (43 CFR part 2), and under regulations at 30 CFR 250.197, ‘‘Data and information to be made available to the public or for limited inspection.’’ We intend to release the project abstracts and names of primary investigators for awarded/funded projects only.</w:t>
      </w:r>
    </w:p>
    <w:p w:rsidR="00FA14F6" w:rsidRPr="00BA0154" w:rsidP="00FA14F6" w14:paraId="1B4ACC4A" w14:textId="77777777">
      <w:pPr>
        <w:tabs>
          <w:tab w:val="left" w:pos="-1080"/>
          <w:tab w:val="left" w:pos="-720"/>
          <w:tab w:val="left" w:pos="450"/>
          <w:tab w:val="left" w:pos="720"/>
        </w:tabs>
        <w:rPr>
          <w:rFonts w:ascii="Arial" w:hAnsi="Arial" w:cs="Arial"/>
          <w:sz w:val="22"/>
          <w:szCs w:val="22"/>
        </w:rPr>
      </w:pPr>
    </w:p>
    <w:p w:rsidR="00FA14F6" w:rsidRPr="00BA0154" w:rsidP="00FA14F6" w14:paraId="1F8C023C" w14:textId="77777777">
      <w:pPr>
        <w:tabs>
          <w:tab w:val="left" w:pos="-1080"/>
          <w:tab w:val="left" w:pos="-720"/>
          <w:tab w:val="left" w:pos="450"/>
          <w:tab w:val="left" w:pos="720"/>
        </w:tabs>
        <w:rPr>
          <w:rFonts w:ascii="Arial" w:hAnsi="Arial" w:cs="Arial"/>
          <w:b/>
          <w:sz w:val="22"/>
          <w:szCs w:val="22"/>
        </w:rPr>
      </w:pPr>
      <w:r w:rsidRPr="00BA0154">
        <w:rPr>
          <w:rFonts w:ascii="Arial" w:hAnsi="Arial" w:cs="Arial"/>
          <w:b/>
          <w:bCs/>
          <w:sz w:val="22"/>
          <w:szCs w:val="22"/>
        </w:rPr>
        <w:t>11.</w:t>
      </w:r>
      <w:r w:rsidRPr="00BA0154">
        <w:rPr>
          <w:rFonts w:ascii="Arial" w:hAnsi="Arial" w:cs="Arial"/>
          <w:sz w:val="22"/>
          <w:szCs w:val="22"/>
        </w:rPr>
        <w:tab/>
      </w:r>
      <w:r w:rsidRPr="00BA0154">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709F5254" w:rsidRPr="00BA0154" w:rsidP="709F5254" w14:paraId="6E4C8CA7" w14:textId="01FAE51C">
      <w:pPr>
        <w:tabs>
          <w:tab w:val="left" w:pos="450"/>
          <w:tab w:val="left" w:pos="720"/>
        </w:tabs>
        <w:rPr>
          <w:rFonts w:ascii="Arial" w:hAnsi="Arial" w:cs="Arial"/>
          <w:sz w:val="22"/>
          <w:szCs w:val="22"/>
        </w:rPr>
      </w:pPr>
    </w:p>
    <w:p w:rsidR="00FA14F6" w:rsidRPr="00BA0154" w:rsidP="709F5254" w14:paraId="66735912" w14:textId="583FF875">
      <w:pPr>
        <w:tabs>
          <w:tab w:val="left" w:pos="450"/>
          <w:tab w:val="left" w:pos="720"/>
        </w:tabs>
        <w:rPr>
          <w:rFonts w:ascii="Arial" w:hAnsi="Arial" w:cs="Arial"/>
          <w:sz w:val="22"/>
          <w:szCs w:val="22"/>
        </w:rPr>
      </w:pPr>
      <w:r w:rsidRPr="00BA0154">
        <w:rPr>
          <w:rFonts w:ascii="Arial" w:hAnsi="Arial" w:cs="Arial"/>
          <w:sz w:val="22"/>
          <w:szCs w:val="22"/>
        </w:rPr>
        <w:t xml:space="preserve">We do not ask questions of a sensitive nature.  </w:t>
      </w:r>
    </w:p>
    <w:p w:rsidR="00FA14F6" w:rsidRPr="00BA0154" w:rsidP="00FA14F6" w14:paraId="722D015F" w14:textId="77777777">
      <w:pPr>
        <w:tabs>
          <w:tab w:val="left" w:pos="-1080"/>
          <w:tab w:val="left" w:pos="-720"/>
          <w:tab w:val="left" w:pos="450"/>
          <w:tab w:val="left" w:pos="720"/>
        </w:tabs>
        <w:rPr>
          <w:rFonts w:ascii="Arial" w:hAnsi="Arial" w:cs="Arial"/>
          <w:sz w:val="22"/>
          <w:szCs w:val="22"/>
        </w:rPr>
      </w:pPr>
    </w:p>
    <w:p w:rsidR="00FA14F6" w:rsidRPr="00BA0154" w:rsidP="00FA14F6" w14:paraId="439A80B0" w14:textId="77777777">
      <w:pPr>
        <w:tabs>
          <w:tab w:val="left" w:pos="-1080"/>
          <w:tab w:val="left" w:pos="-720"/>
          <w:tab w:val="left" w:pos="450"/>
          <w:tab w:val="left" w:pos="720"/>
        </w:tabs>
        <w:rPr>
          <w:rFonts w:ascii="Arial" w:hAnsi="Arial" w:cs="Arial"/>
          <w:b/>
          <w:sz w:val="22"/>
          <w:szCs w:val="22"/>
        </w:rPr>
      </w:pPr>
      <w:r w:rsidRPr="00BA0154">
        <w:rPr>
          <w:rFonts w:ascii="Arial" w:hAnsi="Arial" w:cs="Arial"/>
          <w:b/>
          <w:sz w:val="22"/>
          <w:szCs w:val="22"/>
        </w:rPr>
        <w:t>12.</w:t>
      </w:r>
      <w:r w:rsidRPr="00BA0154">
        <w:rPr>
          <w:rFonts w:ascii="Arial" w:hAnsi="Arial" w:cs="Arial"/>
          <w:b/>
          <w:sz w:val="22"/>
          <w:szCs w:val="22"/>
        </w:rPr>
        <w:tab/>
        <w:t>Provide estimates of the hour burden of the collection of information.  The statement should:</w:t>
      </w:r>
    </w:p>
    <w:p w:rsidR="00FA14F6" w:rsidRPr="00BA0154" w:rsidP="68B34EAC" w14:paraId="1947BE6D" w14:textId="77777777">
      <w:pPr>
        <w:tabs>
          <w:tab w:val="left" w:pos="360"/>
          <w:tab w:val="left" w:pos="720"/>
        </w:tabs>
        <w:ind w:left="720" w:hanging="720"/>
        <w:rPr>
          <w:rFonts w:ascii="Arial" w:hAnsi="Arial" w:cs="Arial"/>
          <w:b/>
          <w:bCs/>
          <w:sz w:val="22"/>
          <w:szCs w:val="22"/>
        </w:rPr>
      </w:pPr>
      <w:r w:rsidRPr="00BA0154">
        <w:rPr>
          <w:rFonts w:ascii="Arial" w:hAnsi="Arial" w:cs="Arial"/>
          <w:b/>
          <w:bCs/>
          <w:sz w:val="22"/>
          <w:szCs w:val="22"/>
        </w:rPr>
        <w:t>*</w:t>
      </w:r>
      <w:r w:rsidRPr="00BA0154">
        <w:rPr>
          <w:rFonts w:ascii="Arial" w:hAnsi="Arial" w:cs="Arial"/>
          <w:b/>
          <w:sz w:val="22"/>
          <w:szCs w:val="22"/>
        </w:rPr>
        <w:tab/>
      </w:r>
      <w:r w:rsidRPr="00BA0154">
        <w:rPr>
          <w:rFonts w:ascii="Arial" w:hAnsi="Arial" w:cs="Arial"/>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BA0154" w:rsidP="68B34EAC" w14:paraId="706110F2" w14:textId="77777777">
      <w:pPr>
        <w:tabs>
          <w:tab w:val="left" w:pos="360"/>
          <w:tab w:val="left" w:pos="720"/>
        </w:tabs>
        <w:ind w:left="720" w:hanging="720"/>
        <w:rPr>
          <w:rFonts w:ascii="Arial" w:hAnsi="Arial" w:cs="Arial"/>
          <w:b/>
          <w:bCs/>
          <w:sz w:val="22"/>
          <w:szCs w:val="22"/>
        </w:rPr>
      </w:pPr>
      <w:r w:rsidRPr="00BA0154">
        <w:rPr>
          <w:rFonts w:ascii="Arial" w:hAnsi="Arial" w:cs="Arial"/>
          <w:b/>
          <w:bCs/>
          <w:sz w:val="22"/>
          <w:szCs w:val="22"/>
        </w:rPr>
        <w:t>*</w:t>
      </w:r>
      <w:r w:rsidRPr="00BA0154">
        <w:rPr>
          <w:rFonts w:ascii="Arial" w:hAnsi="Arial" w:cs="Arial"/>
          <w:b/>
          <w:sz w:val="22"/>
          <w:szCs w:val="22"/>
        </w:rPr>
        <w:tab/>
      </w:r>
      <w:r w:rsidRPr="00BA0154">
        <w:rPr>
          <w:rFonts w:ascii="Arial" w:hAnsi="Arial" w:cs="Arial"/>
          <w:b/>
          <w:bCs/>
          <w:sz w:val="22"/>
          <w:szCs w:val="22"/>
        </w:rPr>
        <w:t>If this request for approval covers more than one form, provide separate hour burden estimates for each form and aggregate the hour burdens.</w:t>
      </w:r>
    </w:p>
    <w:p w:rsidR="00FA14F6" w:rsidRPr="00BA0154" w:rsidP="68B34EAC" w14:paraId="56D3FA57" w14:textId="77777777">
      <w:pPr>
        <w:tabs>
          <w:tab w:val="left" w:pos="360"/>
          <w:tab w:val="left" w:pos="720"/>
        </w:tabs>
        <w:ind w:left="720" w:hanging="720"/>
        <w:rPr>
          <w:rFonts w:ascii="Arial" w:hAnsi="Arial" w:cs="Arial"/>
          <w:sz w:val="22"/>
          <w:szCs w:val="22"/>
        </w:rPr>
      </w:pPr>
      <w:r w:rsidRPr="00BA0154">
        <w:rPr>
          <w:rFonts w:ascii="Arial" w:hAnsi="Arial" w:cs="Arial"/>
          <w:b/>
          <w:bCs/>
          <w:sz w:val="22"/>
          <w:szCs w:val="22"/>
        </w:rPr>
        <w:t>*</w:t>
      </w:r>
      <w:r w:rsidRPr="00BA0154">
        <w:rPr>
          <w:rFonts w:ascii="Arial" w:hAnsi="Arial" w:cs="Arial"/>
          <w:b/>
          <w:sz w:val="22"/>
          <w:szCs w:val="22"/>
        </w:rPr>
        <w:tab/>
      </w:r>
      <w:r w:rsidRPr="00BA0154">
        <w:rPr>
          <w:rFonts w:ascii="Arial" w:hAnsi="Arial" w:cs="Arial"/>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BA0154" w:rsidP="00FA14F6" w14:paraId="1D37C123" w14:textId="77777777">
      <w:pPr>
        <w:tabs>
          <w:tab w:val="left" w:pos="-1080"/>
          <w:tab w:val="left" w:pos="-720"/>
          <w:tab w:val="left" w:pos="450"/>
          <w:tab w:val="left" w:pos="720"/>
        </w:tabs>
        <w:rPr>
          <w:rFonts w:ascii="Arial" w:hAnsi="Arial" w:cs="Arial"/>
          <w:sz w:val="22"/>
          <w:szCs w:val="22"/>
        </w:rPr>
      </w:pPr>
    </w:p>
    <w:p w:rsidR="162E5938" w:rsidRPr="00BA0154" w:rsidP="709F5254" w14:paraId="36D0CA83" w14:textId="1F9DA3F7">
      <w:pPr>
        <w:tabs>
          <w:tab w:val="left" w:pos="1230"/>
        </w:tabs>
        <w:spacing w:after="120"/>
        <w:rPr>
          <w:rFonts w:ascii="Arial" w:hAnsi="Arial" w:cs="Arial"/>
          <w:color w:val="000000" w:themeColor="text1"/>
          <w:sz w:val="22"/>
          <w:szCs w:val="22"/>
        </w:rPr>
      </w:pPr>
      <w:r w:rsidRPr="00BA0154">
        <w:rPr>
          <w:rFonts w:ascii="Arial" w:hAnsi="Arial" w:cs="Arial"/>
          <w:color w:val="000000" w:themeColor="text1"/>
          <w:sz w:val="22"/>
          <w:szCs w:val="22"/>
        </w:rPr>
        <w:t xml:space="preserve">We estimate the total burden hours for this collection, including </w:t>
      </w:r>
      <w:r w:rsidRPr="00BA0154" w:rsidR="70792484">
        <w:rPr>
          <w:rFonts w:ascii="Arial" w:hAnsi="Arial" w:cs="Arial"/>
          <w:sz w:val="22"/>
          <w:szCs w:val="22"/>
        </w:rPr>
        <w:t xml:space="preserve">annual </w:t>
      </w:r>
      <w:r w:rsidRPr="00BA0154">
        <w:rPr>
          <w:rFonts w:ascii="Arial" w:hAnsi="Arial" w:cs="Arial"/>
          <w:color w:val="000000" w:themeColor="text1"/>
          <w:sz w:val="22"/>
          <w:szCs w:val="22"/>
        </w:rPr>
        <w:t>application</w:t>
      </w:r>
      <w:r w:rsidRPr="00BA0154" w:rsidR="70792484">
        <w:rPr>
          <w:rFonts w:ascii="Arial" w:hAnsi="Arial" w:cs="Arial"/>
          <w:sz w:val="22"/>
          <w:szCs w:val="22"/>
        </w:rPr>
        <w:t>, national competitive grant</w:t>
      </w:r>
      <w:r w:rsidRPr="00BA0154">
        <w:rPr>
          <w:rFonts w:ascii="Arial" w:hAnsi="Arial" w:cs="Arial"/>
          <w:color w:val="000000" w:themeColor="text1"/>
          <w:sz w:val="22"/>
          <w:szCs w:val="22"/>
        </w:rPr>
        <w:t xml:space="preserve"> preparation and annual reporting, will be </w:t>
      </w:r>
      <w:r w:rsidRPr="00BA0154" w:rsidR="70792484">
        <w:rPr>
          <w:rFonts w:ascii="Arial" w:hAnsi="Arial" w:cs="Arial"/>
          <w:sz w:val="22"/>
          <w:szCs w:val="22"/>
        </w:rPr>
        <w:t>10,160 hours</w:t>
      </w:r>
      <w:r w:rsidRPr="00BA0154">
        <w:rPr>
          <w:rFonts w:ascii="Arial" w:hAnsi="Arial" w:cs="Arial"/>
          <w:color w:val="000000" w:themeColor="text1"/>
          <w:sz w:val="22"/>
          <w:szCs w:val="22"/>
        </w:rPr>
        <w:t xml:space="preserve">. Our estimates are based on our own experience plus the outreach described in item 8. We expect to receive 54 </w:t>
      </w:r>
      <w:r w:rsidRPr="00BA0154" w:rsidR="70792484">
        <w:rPr>
          <w:rFonts w:ascii="Arial" w:hAnsi="Arial" w:cs="Arial"/>
          <w:sz w:val="22"/>
          <w:szCs w:val="22"/>
        </w:rPr>
        <w:t xml:space="preserve">annual </w:t>
      </w:r>
      <w:r w:rsidRPr="00BA0154">
        <w:rPr>
          <w:rFonts w:ascii="Arial" w:hAnsi="Arial" w:cs="Arial"/>
          <w:color w:val="000000" w:themeColor="text1"/>
          <w:sz w:val="22"/>
          <w:szCs w:val="22"/>
        </w:rPr>
        <w:t>applications</w:t>
      </w:r>
      <w:r w:rsidRPr="00BA0154" w:rsidR="70792484">
        <w:rPr>
          <w:rFonts w:ascii="Arial" w:hAnsi="Arial" w:cs="Arial"/>
          <w:sz w:val="22"/>
          <w:szCs w:val="22"/>
        </w:rPr>
        <w:t>, 65 national competitive grant applications,</w:t>
      </w:r>
      <w:r w:rsidRPr="00BA0154">
        <w:rPr>
          <w:rFonts w:ascii="Arial" w:hAnsi="Arial" w:cs="Arial"/>
          <w:color w:val="000000" w:themeColor="text1"/>
          <w:sz w:val="22"/>
          <w:szCs w:val="22"/>
        </w:rPr>
        <w:t xml:space="preserve"> and 54 reports annually. </w:t>
      </w:r>
      <w:r w:rsidRPr="00BA0154" w:rsidR="70792484">
        <w:rPr>
          <w:rFonts w:ascii="Arial" w:hAnsi="Arial" w:cs="Arial"/>
          <w:sz w:val="22"/>
          <w:szCs w:val="22"/>
        </w:rPr>
        <w:t>These estimates include time</w:t>
      </w:r>
      <w:r w:rsidRPr="00BA0154">
        <w:rPr>
          <w:rFonts w:ascii="Arial" w:hAnsi="Arial" w:cs="Arial"/>
          <w:color w:val="000000" w:themeColor="text1"/>
          <w:sz w:val="22"/>
          <w:szCs w:val="22"/>
        </w:rPr>
        <w:t xml:space="preserve"> for project conception and development, proposal writing and reviewing, registering online, submitting the proposal application through Grants.gov, and submitting the project narrative, budget breakdown, budget justification, and letters of commitment of matching funds through the website at </w:t>
      </w:r>
      <w:hyperlink r:id="rId9">
        <w:r w:rsidRPr="00BA0154" w:rsidR="70792484">
          <w:rPr>
            <w:rStyle w:val="Hyperlink"/>
            <w:rFonts w:ascii="Arial" w:hAnsi="Arial" w:cs="Arial"/>
            <w:sz w:val="22"/>
            <w:szCs w:val="22"/>
          </w:rPr>
          <w:t>https://www.grants.gov</w:t>
        </w:r>
      </w:hyperlink>
      <w:r w:rsidRPr="00BA0154" w:rsidR="70792484">
        <w:rPr>
          <w:rFonts w:ascii="Arial" w:hAnsi="Arial" w:cs="Arial"/>
          <w:sz w:val="22"/>
          <w:szCs w:val="22"/>
        </w:rPr>
        <w:t>.</w:t>
      </w:r>
      <w:r w:rsidRPr="00BA0154">
        <w:rPr>
          <w:rFonts w:ascii="Arial" w:hAnsi="Arial" w:cs="Arial"/>
          <w:color w:val="000000" w:themeColor="text1"/>
          <w:sz w:val="22"/>
          <w:szCs w:val="22"/>
        </w:rPr>
        <w:t xml:space="preserve"> In addition to the application it takes another </w:t>
      </w:r>
      <w:r w:rsidRPr="00BA0154" w:rsidR="70792484">
        <w:rPr>
          <w:rFonts w:ascii="Arial" w:hAnsi="Arial" w:cs="Arial"/>
          <w:sz w:val="22"/>
          <w:szCs w:val="22"/>
        </w:rPr>
        <w:t>40</w:t>
      </w:r>
      <w:r w:rsidRPr="00BA0154">
        <w:rPr>
          <w:rFonts w:ascii="Arial" w:hAnsi="Arial" w:cs="Arial"/>
          <w:color w:val="000000" w:themeColor="text1"/>
          <w:sz w:val="22"/>
          <w:szCs w:val="22"/>
        </w:rPr>
        <w:t xml:space="preserve"> hours to fulfill the annual reporting requirements </w:t>
      </w:r>
      <w:r w:rsidRPr="00BA0154" w:rsidR="70792484">
        <w:rPr>
          <w:rFonts w:ascii="Arial" w:hAnsi="Arial" w:cs="Arial"/>
          <w:sz w:val="22"/>
          <w:szCs w:val="22"/>
        </w:rPr>
        <w:t>(totaling 2,160</w:t>
      </w:r>
      <w:r w:rsidRPr="00BA0154">
        <w:rPr>
          <w:rFonts w:ascii="Arial" w:hAnsi="Arial" w:cs="Arial"/>
          <w:color w:val="000000" w:themeColor="text1"/>
          <w:sz w:val="22"/>
          <w:szCs w:val="22"/>
        </w:rPr>
        <w:t xml:space="preserve"> burden hours).</w:t>
      </w:r>
    </w:p>
    <w:p w:rsidR="162E5938" w:rsidRPr="00BA0154" w:rsidP="709F5254" w14:paraId="51F24F46" w14:textId="26E5F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themeColor="text1"/>
          <w:sz w:val="22"/>
          <w:szCs w:val="22"/>
        </w:rPr>
      </w:pPr>
      <w:r w:rsidRPr="00BA0154">
        <w:rPr>
          <w:rFonts w:ascii="Arial" w:hAnsi="Arial" w:cs="Arial"/>
          <w:color w:val="000000" w:themeColor="text1"/>
          <w:sz w:val="22"/>
          <w:szCs w:val="22"/>
        </w:rPr>
        <w:t xml:space="preserve">We estimate an aggregated annual cost to the Institutes to be </w:t>
      </w:r>
      <w:r w:rsidRPr="00BA0154">
        <w:rPr>
          <w:rFonts w:ascii="Arial" w:hAnsi="Arial" w:cs="Arial"/>
          <w:color w:val="000000" w:themeColor="text1"/>
          <w:sz w:val="22"/>
          <w:szCs w:val="22"/>
          <w:lang w:val="en-CA"/>
        </w:rPr>
        <w:t>$</w:t>
      </w:r>
      <w:r w:rsidRPr="00BA0154" w:rsidR="70792484">
        <w:rPr>
          <w:rFonts w:ascii="Arial" w:hAnsi="Arial" w:cs="Arial"/>
          <w:sz w:val="22"/>
          <w:szCs w:val="22"/>
          <w:lang w:val="en-CA"/>
        </w:rPr>
        <w:t>649,630</w:t>
      </w:r>
      <w:r w:rsidRPr="00BA0154">
        <w:rPr>
          <w:rFonts w:ascii="Arial" w:hAnsi="Arial" w:cs="Arial"/>
          <w:color w:val="000000" w:themeColor="text1"/>
          <w:sz w:val="22"/>
          <w:szCs w:val="22"/>
          <w:lang w:val="en-CA"/>
        </w:rPr>
        <w:t xml:space="preserve"> (see Table 1).</w:t>
      </w:r>
      <w:r w:rsidRPr="00BA0154">
        <w:rPr>
          <w:rFonts w:ascii="Arial" w:hAnsi="Arial" w:cs="Arial"/>
          <w:color w:val="000000" w:themeColor="text1"/>
          <w:sz w:val="22"/>
          <w:szCs w:val="22"/>
        </w:rPr>
        <w:t xml:space="preserve"> We estimate it costs the Institutes approximately $</w:t>
      </w:r>
      <w:r w:rsidRPr="00BA0154" w:rsidR="70792484">
        <w:rPr>
          <w:rFonts w:ascii="Arial" w:hAnsi="Arial" w:cs="Arial"/>
          <w:sz w:val="22"/>
          <w:szCs w:val="22"/>
        </w:rPr>
        <w:t>345,272</w:t>
      </w:r>
      <w:r w:rsidRPr="00BA0154" w:rsidR="6F8D68B3">
        <w:rPr>
          <w:rFonts w:ascii="Arial" w:hAnsi="Arial" w:cs="Arial"/>
          <w:color w:val="000000" w:themeColor="text1"/>
          <w:sz w:val="22"/>
          <w:szCs w:val="22"/>
        </w:rPr>
        <w:t xml:space="preserve"> </w:t>
      </w:r>
      <w:r w:rsidRPr="00BA0154">
        <w:rPr>
          <w:rFonts w:ascii="Arial" w:hAnsi="Arial" w:cs="Arial"/>
          <w:color w:val="000000" w:themeColor="text1"/>
          <w:sz w:val="22"/>
          <w:szCs w:val="22"/>
        </w:rPr>
        <w:t>dollars to prepare the annual application</w:t>
      </w:r>
      <w:r w:rsidRPr="00BA0154" w:rsidR="70792484">
        <w:rPr>
          <w:rFonts w:ascii="Arial" w:hAnsi="Arial" w:cs="Arial"/>
          <w:sz w:val="22"/>
          <w:szCs w:val="22"/>
        </w:rPr>
        <w:t>, approximately $166,244 dollars to prepare the national competitive grants applications</w:t>
      </w:r>
      <w:r w:rsidRPr="00BA0154">
        <w:rPr>
          <w:rFonts w:ascii="Arial" w:hAnsi="Arial" w:cs="Arial"/>
          <w:color w:val="000000" w:themeColor="text1"/>
          <w:sz w:val="22"/>
          <w:szCs w:val="22"/>
        </w:rPr>
        <w:t xml:space="preserve"> and another $</w:t>
      </w:r>
      <w:r w:rsidRPr="00BA0154" w:rsidR="70792484">
        <w:rPr>
          <w:rFonts w:ascii="Arial" w:hAnsi="Arial" w:cs="Arial"/>
          <w:sz w:val="22"/>
          <w:szCs w:val="22"/>
        </w:rPr>
        <w:t>138,110</w:t>
      </w:r>
      <w:r w:rsidRPr="00BA0154">
        <w:rPr>
          <w:rFonts w:ascii="Arial" w:hAnsi="Arial" w:cs="Arial"/>
          <w:color w:val="000000" w:themeColor="text1"/>
          <w:sz w:val="22"/>
          <w:szCs w:val="22"/>
        </w:rPr>
        <w:t xml:space="preserve"> dollars to complete the annual report. The hour cost is based on BLS news release USDL </w:t>
      </w:r>
      <w:r w:rsidRPr="00BA0154" w:rsidR="3C50BCD2">
        <w:rPr>
          <w:rFonts w:ascii="Arial" w:hAnsi="Arial" w:cs="Arial"/>
          <w:color w:val="000000" w:themeColor="text1"/>
          <w:sz w:val="22"/>
          <w:szCs w:val="22"/>
        </w:rPr>
        <w:t>2</w:t>
      </w:r>
      <w:r w:rsidRPr="00BA0154">
        <w:rPr>
          <w:rFonts w:ascii="Arial" w:hAnsi="Arial" w:cs="Arial"/>
          <w:color w:val="000000" w:themeColor="text1"/>
          <w:sz w:val="22"/>
          <w:szCs w:val="22"/>
        </w:rPr>
        <w:t>5-1</w:t>
      </w:r>
      <w:r w:rsidRPr="00BA0154" w:rsidR="45A23D99">
        <w:rPr>
          <w:rFonts w:ascii="Arial" w:hAnsi="Arial" w:cs="Arial"/>
          <w:color w:val="000000" w:themeColor="text1"/>
          <w:sz w:val="22"/>
          <w:szCs w:val="22"/>
        </w:rPr>
        <w:t>358</w:t>
      </w:r>
      <w:r w:rsidRPr="00BA0154">
        <w:rPr>
          <w:rFonts w:ascii="Arial" w:hAnsi="Arial" w:cs="Arial"/>
          <w:color w:val="000000" w:themeColor="text1"/>
          <w:sz w:val="22"/>
          <w:szCs w:val="22"/>
        </w:rPr>
        <w:t xml:space="preserve"> of September </w:t>
      </w:r>
      <w:r w:rsidRPr="00BA0154" w:rsidR="01C43963">
        <w:rPr>
          <w:rFonts w:ascii="Arial" w:hAnsi="Arial" w:cs="Arial"/>
          <w:color w:val="000000" w:themeColor="text1"/>
          <w:sz w:val="22"/>
          <w:szCs w:val="22"/>
        </w:rPr>
        <w:t>12</w:t>
      </w:r>
      <w:r w:rsidRPr="00BA0154">
        <w:rPr>
          <w:rFonts w:ascii="Arial" w:hAnsi="Arial" w:cs="Arial"/>
          <w:color w:val="000000" w:themeColor="text1"/>
          <w:sz w:val="22"/>
          <w:szCs w:val="22"/>
        </w:rPr>
        <w:t>, 20</w:t>
      </w:r>
      <w:r w:rsidRPr="00BA0154" w:rsidR="642BB90C">
        <w:rPr>
          <w:rFonts w:ascii="Arial" w:hAnsi="Arial" w:cs="Arial"/>
          <w:color w:val="000000" w:themeColor="text1"/>
          <w:sz w:val="22"/>
          <w:szCs w:val="22"/>
        </w:rPr>
        <w:t>25</w:t>
      </w:r>
      <w:r w:rsidRPr="00BA0154">
        <w:rPr>
          <w:rFonts w:ascii="Arial" w:hAnsi="Arial" w:cs="Arial"/>
          <w:color w:val="000000" w:themeColor="text1"/>
          <w:sz w:val="22"/>
          <w:szCs w:val="22"/>
        </w:rPr>
        <w:t xml:space="preserve">, for average full compensation per hour including benefits for </w:t>
      </w:r>
      <w:r w:rsidRPr="00BA0154" w:rsidR="70792484">
        <w:rPr>
          <w:rFonts w:ascii="Arial" w:hAnsi="Arial" w:cs="Arial"/>
          <w:sz w:val="22"/>
          <w:szCs w:val="22"/>
        </w:rPr>
        <w:t>state and local government workers.</w:t>
      </w:r>
      <w:r w:rsidRPr="00BA0154">
        <w:rPr>
          <w:rFonts w:ascii="Arial" w:hAnsi="Arial" w:cs="Arial"/>
          <w:color w:val="000000" w:themeColor="text1"/>
          <w:sz w:val="22"/>
          <w:szCs w:val="22"/>
        </w:rPr>
        <w:t xml:space="preserve"> The particular value utilized was for $</w:t>
      </w:r>
      <w:r w:rsidRPr="00BA0154" w:rsidR="70792484">
        <w:rPr>
          <w:rFonts w:ascii="Arial" w:hAnsi="Arial" w:cs="Arial"/>
          <w:sz w:val="22"/>
          <w:szCs w:val="22"/>
        </w:rPr>
        <w:t>63.94</w:t>
      </w:r>
      <w:r w:rsidRPr="00BA0154">
        <w:rPr>
          <w:rFonts w:ascii="Arial" w:hAnsi="Arial" w:cs="Arial"/>
          <w:color w:val="000000" w:themeColor="text1"/>
          <w:sz w:val="22"/>
          <w:szCs w:val="22"/>
        </w:rPr>
        <w:t xml:space="preserve"> for individuals.</w:t>
      </w:r>
    </w:p>
    <w:p w:rsidR="6F170215" w:rsidRPr="00BA0154" w:rsidP="6F170215" w14:paraId="3D3911E0" w14:textId="5AA0F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themeColor="text1"/>
          <w:sz w:val="22"/>
          <w:szCs w:val="22"/>
        </w:rPr>
      </w:pPr>
    </w:p>
    <w:p w:rsidR="709F5254" w:rsidRPr="00BA0154" w:rsidP="709F5254" w14:paraId="08C5AF61" w14:textId="3489F32C">
      <w:pPr>
        <w:rPr>
          <w:rFonts w:ascii="Arial" w:hAnsi="Arial" w:cs="Arial"/>
          <w:color w:val="000000" w:themeColor="text1"/>
          <w:sz w:val="22"/>
          <w:szCs w:val="22"/>
        </w:rPr>
      </w:pPr>
    </w:p>
    <w:p w:rsidR="162E5938" w:rsidRPr="00BA0154" w:rsidP="709F5254" w14:paraId="6CFEE463" w14:textId="64B4DDDE">
      <w:pPr>
        <w:rPr>
          <w:rFonts w:ascii="Arial" w:hAnsi="Arial" w:cs="Arial"/>
          <w:color w:val="000000" w:themeColor="text1"/>
          <w:sz w:val="22"/>
          <w:szCs w:val="22"/>
        </w:rPr>
      </w:pPr>
      <w:r w:rsidRPr="00BA0154">
        <w:rPr>
          <w:rFonts w:ascii="Arial" w:hAnsi="Arial" w:cs="Arial"/>
          <w:b/>
          <w:color w:val="000000" w:themeColor="text1"/>
          <w:sz w:val="22"/>
          <w:szCs w:val="22"/>
        </w:rPr>
        <w:t>Table 1. Estimated Dollar Value of Annual Burden Hours</w:t>
      </w:r>
    </w:p>
    <w:p w:rsidR="709F5254" w:rsidRPr="00BA0154" w:rsidP="709F5254" w14:paraId="63EE78C1" w14:textId="11B11094">
      <w:pPr>
        <w:tabs>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color w:val="000000" w:themeColor="text1"/>
          <w:sz w:val="22"/>
          <w:szCs w:val="22"/>
        </w:rPr>
      </w:pPr>
    </w:p>
    <w:tbl>
      <w:tblPr>
        <w:tblW w:w="8460" w:type="dxa"/>
        <w:tblInd w:w="105" w:type="dxa"/>
        <w:tblBorders>
          <w:top w:val="single" w:sz="6" w:space="0" w:color="auto"/>
          <w:left w:val="single" w:sz="6" w:space="0" w:color="auto"/>
          <w:bottom w:val="single" w:sz="6" w:space="0" w:color="auto"/>
          <w:right w:val="single" w:sz="6" w:space="0" w:color="auto"/>
        </w:tblBorders>
        <w:tblLook w:val="01E0"/>
      </w:tblPr>
      <w:tblGrid>
        <w:gridCol w:w="1710"/>
        <w:gridCol w:w="1384"/>
        <w:gridCol w:w="1420"/>
        <w:gridCol w:w="1093"/>
        <w:gridCol w:w="1391"/>
        <w:gridCol w:w="1420"/>
        <w:gridCol w:w="42"/>
      </w:tblGrid>
      <w:tr w14:paraId="6168FE04" w14:textId="77777777" w:rsidTr="00A3107E">
        <w:tblPrEx>
          <w:tblW w:w="8460" w:type="dxa"/>
          <w:tblInd w:w="105" w:type="dxa"/>
          <w:tblBorders>
            <w:top w:val="single" w:sz="6" w:space="0" w:color="auto"/>
            <w:left w:val="single" w:sz="6" w:space="0" w:color="auto"/>
            <w:bottom w:val="single" w:sz="6" w:space="0" w:color="auto"/>
            <w:right w:val="single" w:sz="6" w:space="0" w:color="auto"/>
          </w:tblBorders>
          <w:tblLook w:val="01E0"/>
        </w:tblPrEx>
        <w:trPr>
          <w:gridAfter w:val="1"/>
          <w:wAfter w:w="359" w:type="dxa"/>
          <w:trHeight w:val="945"/>
        </w:trPr>
        <w:tc>
          <w:tcPr>
            <w:tcW w:w="1800" w:type="dxa"/>
            <w:tcBorders>
              <w:top w:val="single" w:sz="12" w:space="0" w:color="000000" w:themeColor="text1"/>
              <w:bottom w:val="single" w:sz="6" w:space="0" w:color="000000" w:themeColor="text1"/>
              <w:right w:val="single" w:sz="6" w:space="0" w:color="000000" w:themeColor="text1"/>
            </w:tcBorders>
            <w:tcMar>
              <w:left w:w="105" w:type="dxa"/>
              <w:right w:w="105" w:type="dxa"/>
            </w:tcMar>
            <w:vAlign w:val="center"/>
          </w:tcPr>
          <w:p w:rsidR="709F5254" w:rsidRPr="00BA0154" w:rsidP="709F5254" w14:paraId="355D596E" w14:textId="3AB22E3A">
            <w:pPr>
              <w:jc w:val="center"/>
              <w:rPr>
                <w:rFonts w:ascii="Arial" w:hAnsi="Arial" w:cs="Arial"/>
                <w:sz w:val="22"/>
                <w:szCs w:val="22"/>
              </w:rPr>
            </w:pPr>
            <w:r w:rsidRPr="00BA0154">
              <w:rPr>
                <w:rFonts w:ascii="Arial" w:hAnsi="Arial" w:cs="Arial"/>
                <w:b/>
                <w:i/>
                <w:sz w:val="22"/>
                <w:szCs w:val="22"/>
                <w:lang w:val="en-CA"/>
              </w:rPr>
              <w:t>Activity</w:t>
            </w:r>
          </w:p>
        </w:tc>
        <w:tc>
          <w:tcPr>
            <w:tcW w:w="990" w:type="dxa"/>
            <w:tcBorders>
              <w:top w:val="single" w:sz="12" w:space="0" w:color="000000" w:themeColor="text1"/>
              <w:bottom w:val="single" w:sz="6" w:space="0" w:color="000000" w:themeColor="text1"/>
            </w:tcBorders>
            <w:tcMar>
              <w:left w:w="105" w:type="dxa"/>
              <w:right w:w="105" w:type="dxa"/>
            </w:tcMar>
            <w:vAlign w:val="center"/>
          </w:tcPr>
          <w:p w:rsidR="709F5254" w:rsidRPr="00BA0154" w:rsidP="709F5254" w14:paraId="49095555" w14:textId="364D89B4">
            <w:pPr>
              <w:jc w:val="center"/>
              <w:rPr>
                <w:rFonts w:ascii="Arial" w:hAnsi="Arial" w:cs="Arial"/>
                <w:sz w:val="22"/>
                <w:szCs w:val="22"/>
              </w:rPr>
            </w:pPr>
            <w:r w:rsidRPr="00BA0154">
              <w:rPr>
                <w:rFonts w:ascii="Arial" w:hAnsi="Arial" w:cs="Arial"/>
                <w:b/>
                <w:i/>
                <w:sz w:val="22"/>
                <w:szCs w:val="22"/>
                <w:lang w:val="en-CA"/>
              </w:rPr>
              <w:t>Annual Number of Responses</w:t>
            </w:r>
          </w:p>
        </w:tc>
        <w:tc>
          <w:tcPr>
            <w:tcW w:w="1350" w:type="dxa"/>
            <w:tcBorders>
              <w:top w:val="single" w:sz="12" w:space="0" w:color="000000" w:themeColor="text1"/>
              <w:bottom w:val="single" w:sz="6" w:space="0" w:color="000000" w:themeColor="text1"/>
            </w:tcBorders>
            <w:tcMar>
              <w:left w:w="105" w:type="dxa"/>
              <w:right w:w="105" w:type="dxa"/>
            </w:tcMar>
            <w:vAlign w:val="center"/>
          </w:tcPr>
          <w:p w:rsidR="709F5254" w:rsidRPr="00BA0154" w:rsidP="709F5254" w14:paraId="2D764561" w14:textId="3DA6C3E8">
            <w:pPr>
              <w:jc w:val="center"/>
              <w:rPr>
                <w:rFonts w:ascii="Arial" w:hAnsi="Arial" w:cs="Arial"/>
                <w:sz w:val="22"/>
                <w:szCs w:val="22"/>
              </w:rPr>
            </w:pPr>
            <w:r w:rsidRPr="00BA0154">
              <w:rPr>
                <w:rFonts w:ascii="Arial" w:hAnsi="Arial" w:cs="Arial"/>
                <w:b/>
                <w:i/>
                <w:sz w:val="22"/>
                <w:szCs w:val="22"/>
                <w:lang w:val="en-CA"/>
              </w:rPr>
              <w:t>Estimated Completion Time per Response</w:t>
            </w:r>
          </w:p>
        </w:tc>
        <w:tc>
          <w:tcPr>
            <w:tcW w:w="1170" w:type="dxa"/>
            <w:tcBorders>
              <w:top w:val="single" w:sz="12" w:space="0" w:color="000000" w:themeColor="text1"/>
              <w:bottom w:val="single" w:sz="6" w:space="0" w:color="000000" w:themeColor="text1"/>
            </w:tcBorders>
            <w:tcMar>
              <w:left w:w="105" w:type="dxa"/>
              <w:right w:w="105" w:type="dxa"/>
            </w:tcMar>
            <w:vAlign w:val="center"/>
          </w:tcPr>
          <w:p w:rsidR="709F5254" w:rsidRPr="00BA0154" w:rsidP="709F5254" w14:paraId="7AB7EDEC" w14:textId="7782BB49">
            <w:pPr>
              <w:jc w:val="center"/>
              <w:rPr>
                <w:rFonts w:ascii="Arial" w:hAnsi="Arial" w:cs="Arial"/>
                <w:sz w:val="22"/>
                <w:szCs w:val="22"/>
              </w:rPr>
            </w:pPr>
            <w:r w:rsidRPr="00BA0154">
              <w:rPr>
                <w:rFonts w:ascii="Arial" w:hAnsi="Arial" w:cs="Arial"/>
                <w:b/>
                <w:i/>
                <w:sz w:val="22"/>
                <w:szCs w:val="22"/>
                <w:lang w:val="en-CA"/>
              </w:rPr>
              <w:t>Total Annual Burden Hours</w:t>
            </w:r>
          </w:p>
        </w:tc>
        <w:tc>
          <w:tcPr>
            <w:tcW w:w="1530" w:type="dxa"/>
            <w:tcBorders>
              <w:top w:val="single" w:sz="12" w:space="0" w:color="000000" w:themeColor="text1"/>
              <w:bottom w:val="single" w:sz="6" w:space="0" w:color="000000" w:themeColor="text1"/>
            </w:tcBorders>
            <w:tcMar>
              <w:left w:w="105" w:type="dxa"/>
              <w:right w:w="105" w:type="dxa"/>
            </w:tcMar>
            <w:vAlign w:val="center"/>
          </w:tcPr>
          <w:p w:rsidR="709F5254" w:rsidRPr="00BA0154" w:rsidP="709F5254" w14:paraId="53AE5A66" w14:textId="37C5DB5A">
            <w:pPr>
              <w:jc w:val="center"/>
              <w:rPr>
                <w:rFonts w:ascii="Arial" w:hAnsi="Arial" w:cs="Arial"/>
                <w:sz w:val="22"/>
                <w:szCs w:val="22"/>
              </w:rPr>
            </w:pPr>
            <w:r w:rsidRPr="00BA0154">
              <w:rPr>
                <w:rFonts w:ascii="Arial" w:hAnsi="Arial" w:cs="Arial"/>
                <w:b/>
                <w:i/>
                <w:sz w:val="22"/>
                <w:szCs w:val="22"/>
                <w:lang w:val="en-CA"/>
              </w:rPr>
              <w:t>Dollar Value of Burden Hour  Including Benefits</w:t>
            </w:r>
          </w:p>
        </w:tc>
        <w:tc>
          <w:tcPr>
            <w:tcW w:w="1620" w:type="dxa"/>
            <w:tcBorders>
              <w:top w:val="single" w:sz="12" w:space="0" w:color="000000" w:themeColor="text1"/>
              <w:bottom w:val="single" w:sz="6" w:space="0" w:color="000000" w:themeColor="text1"/>
            </w:tcBorders>
            <w:tcMar>
              <w:left w:w="105" w:type="dxa"/>
              <w:right w:w="105" w:type="dxa"/>
            </w:tcMar>
            <w:vAlign w:val="center"/>
          </w:tcPr>
          <w:p w:rsidR="709F5254" w:rsidRPr="00BA0154" w:rsidP="709F5254" w14:paraId="56BED33A" w14:textId="1D46F927">
            <w:pPr>
              <w:jc w:val="center"/>
              <w:rPr>
                <w:rFonts w:ascii="Arial" w:hAnsi="Arial" w:cs="Arial"/>
                <w:sz w:val="22"/>
                <w:szCs w:val="22"/>
              </w:rPr>
            </w:pPr>
            <w:r w:rsidRPr="00BA0154">
              <w:rPr>
                <w:rFonts w:ascii="Arial" w:hAnsi="Arial" w:cs="Arial"/>
                <w:b/>
                <w:i/>
                <w:sz w:val="22"/>
                <w:szCs w:val="22"/>
                <w:lang w:val="en-CA"/>
              </w:rPr>
              <w:t>Total Dollar Value of Annual Burden Hours</w:t>
            </w:r>
          </w:p>
        </w:tc>
      </w:tr>
      <w:tr w14:paraId="4940D291" w14:textId="77777777" w:rsidTr="00A3107E">
        <w:tblPrEx>
          <w:tblW w:w="8460" w:type="dxa"/>
          <w:tblInd w:w="105" w:type="dxa"/>
          <w:tblLook w:val="01E0"/>
        </w:tblPrEx>
        <w:trPr>
          <w:trHeight w:val="540"/>
        </w:trPr>
        <w:tc>
          <w:tcPr>
            <w:tcW w:w="1800" w:type="dxa"/>
            <w:tcBorders>
              <w:right w:val="single" w:sz="6" w:space="0" w:color="000000" w:themeColor="text1"/>
            </w:tcBorders>
            <w:tcMar>
              <w:left w:w="105" w:type="dxa"/>
              <w:right w:w="105" w:type="dxa"/>
            </w:tcMar>
            <w:vAlign w:val="center"/>
          </w:tcPr>
          <w:p w:rsidR="709F5254" w:rsidRPr="00BA0154" w:rsidP="709F5254" w14:paraId="1D90C00D" w14:textId="72FB4F62">
            <w:pPr>
              <w:rPr>
                <w:rFonts w:ascii="Arial" w:hAnsi="Arial" w:cs="Arial"/>
                <w:sz w:val="22"/>
                <w:szCs w:val="22"/>
              </w:rPr>
            </w:pPr>
            <w:r w:rsidRPr="00BA0154">
              <w:rPr>
                <w:rFonts w:ascii="Arial" w:hAnsi="Arial" w:cs="Arial"/>
                <w:sz w:val="22"/>
                <w:szCs w:val="22"/>
                <w:lang w:val="en-CA"/>
              </w:rPr>
              <w:t xml:space="preserve">Annual Application </w:t>
            </w:r>
            <w:r w:rsidRPr="00BA0154" w:rsidR="31B30B37">
              <w:rPr>
                <w:rFonts w:ascii="Arial" w:hAnsi="Arial" w:cs="Arial"/>
                <w:sz w:val="22"/>
                <w:szCs w:val="22"/>
                <w:lang w:val="en-CA"/>
              </w:rPr>
              <w:t>(104c)</w:t>
            </w:r>
          </w:p>
        </w:tc>
        <w:tc>
          <w:tcPr>
            <w:tcW w:w="990" w:type="dxa"/>
            <w:tcMar>
              <w:left w:w="105" w:type="dxa"/>
              <w:right w:w="105" w:type="dxa"/>
            </w:tcMar>
            <w:vAlign w:val="center"/>
          </w:tcPr>
          <w:p w:rsidR="709F5254" w:rsidRPr="00BA0154" w:rsidP="709F5254" w14:paraId="71313606" w14:textId="0036E0F7">
            <w:pPr>
              <w:tabs>
                <w:tab w:val="left" w:pos="384"/>
                <w:tab w:val="center" w:pos="502"/>
              </w:tabs>
              <w:jc w:val="center"/>
              <w:rPr>
                <w:rFonts w:ascii="Arial" w:hAnsi="Arial" w:cs="Arial"/>
                <w:sz w:val="22"/>
                <w:szCs w:val="22"/>
              </w:rPr>
            </w:pPr>
            <w:r w:rsidRPr="00BA0154">
              <w:rPr>
                <w:rFonts w:ascii="Arial" w:hAnsi="Arial" w:cs="Arial"/>
                <w:sz w:val="22"/>
                <w:szCs w:val="22"/>
                <w:lang w:val="en-CA"/>
              </w:rPr>
              <w:t>54</w:t>
            </w:r>
          </w:p>
        </w:tc>
        <w:tc>
          <w:tcPr>
            <w:tcW w:w="1350" w:type="dxa"/>
            <w:tcMar>
              <w:left w:w="105" w:type="dxa"/>
              <w:right w:w="105" w:type="dxa"/>
            </w:tcMar>
            <w:vAlign w:val="center"/>
          </w:tcPr>
          <w:p w:rsidR="709F5254" w:rsidRPr="00BA0154" w:rsidP="709F5254" w14:paraId="468FF41D" w14:textId="29982921">
            <w:pPr>
              <w:jc w:val="center"/>
              <w:rPr>
                <w:rFonts w:ascii="Arial" w:hAnsi="Arial" w:cs="Arial"/>
                <w:sz w:val="22"/>
                <w:szCs w:val="22"/>
              </w:rPr>
            </w:pPr>
            <w:r w:rsidRPr="00BA0154">
              <w:rPr>
                <w:rFonts w:ascii="Arial" w:hAnsi="Arial" w:cs="Arial"/>
                <w:sz w:val="22"/>
                <w:szCs w:val="22"/>
                <w:lang w:val="en-CA"/>
              </w:rPr>
              <w:t>100 hours</w:t>
            </w:r>
          </w:p>
        </w:tc>
        <w:tc>
          <w:tcPr>
            <w:tcW w:w="1170" w:type="dxa"/>
            <w:tcMar>
              <w:left w:w="105" w:type="dxa"/>
              <w:right w:w="105" w:type="dxa"/>
            </w:tcMar>
            <w:vAlign w:val="center"/>
          </w:tcPr>
          <w:p w:rsidR="709F5254" w:rsidRPr="00BA0154" w:rsidP="709F5254" w14:paraId="05569AC1" w14:textId="0E98E378">
            <w:pPr>
              <w:jc w:val="center"/>
              <w:rPr>
                <w:rFonts w:ascii="Arial" w:hAnsi="Arial" w:cs="Arial"/>
                <w:sz w:val="22"/>
                <w:szCs w:val="22"/>
              </w:rPr>
            </w:pPr>
            <w:r w:rsidRPr="00BA0154">
              <w:rPr>
                <w:rFonts w:ascii="Arial" w:hAnsi="Arial" w:cs="Arial"/>
                <w:sz w:val="22"/>
                <w:szCs w:val="22"/>
                <w:lang w:val="en-CA"/>
              </w:rPr>
              <w:t>5,400</w:t>
            </w:r>
          </w:p>
        </w:tc>
        <w:tc>
          <w:tcPr>
            <w:tcW w:w="1530" w:type="dxa"/>
            <w:tcMar>
              <w:left w:w="105" w:type="dxa"/>
              <w:right w:w="105" w:type="dxa"/>
            </w:tcMar>
            <w:vAlign w:val="center"/>
          </w:tcPr>
          <w:p w:rsidR="709F5254" w:rsidRPr="00BA0154" w:rsidP="709F5254" w14:paraId="5B9E9C01" w14:textId="5F9D07BB">
            <w:pPr>
              <w:jc w:val="center"/>
              <w:rPr>
                <w:rFonts w:ascii="Arial" w:hAnsi="Arial" w:cs="Arial"/>
                <w:sz w:val="22"/>
                <w:szCs w:val="22"/>
              </w:rPr>
            </w:pPr>
            <w:r w:rsidRPr="00BA0154">
              <w:rPr>
                <w:rFonts w:ascii="Arial" w:hAnsi="Arial" w:cs="Arial"/>
                <w:sz w:val="22"/>
                <w:szCs w:val="22"/>
                <w:lang w:val="en-CA"/>
              </w:rPr>
              <w:t>$</w:t>
            </w:r>
            <w:r w:rsidRPr="00BA0154" w:rsidR="7CF379B5">
              <w:rPr>
                <w:rFonts w:ascii="Arial" w:hAnsi="Arial" w:cs="Arial"/>
                <w:sz w:val="22"/>
                <w:szCs w:val="22"/>
                <w:lang w:val="en-CA"/>
              </w:rPr>
              <w:t>63.94</w:t>
            </w:r>
          </w:p>
        </w:tc>
        <w:tc>
          <w:tcPr>
            <w:tcW w:w="1620" w:type="dxa"/>
            <w:gridSpan w:val="2"/>
            <w:tcMar>
              <w:left w:w="105" w:type="dxa"/>
              <w:right w:w="105" w:type="dxa"/>
            </w:tcMar>
            <w:vAlign w:val="center"/>
          </w:tcPr>
          <w:p w:rsidR="709F5254" w:rsidRPr="00BA0154" w:rsidP="709F5254" w14:paraId="3EEA7557" w14:textId="772054F2">
            <w:pPr>
              <w:tabs>
                <w:tab w:val="left" w:pos="408"/>
                <w:tab w:val="center" w:pos="729"/>
              </w:tabs>
              <w:jc w:val="center"/>
              <w:rPr>
                <w:rFonts w:ascii="Arial" w:hAnsi="Arial" w:cs="Arial"/>
                <w:sz w:val="22"/>
                <w:szCs w:val="22"/>
                <w:lang w:val="en-CA"/>
              </w:rPr>
            </w:pPr>
            <w:r w:rsidRPr="00BA0154">
              <w:rPr>
                <w:rFonts w:ascii="Arial" w:hAnsi="Arial" w:cs="Arial"/>
                <w:sz w:val="22"/>
                <w:szCs w:val="22"/>
                <w:lang w:val="en-CA"/>
              </w:rPr>
              <w:t>$</w:t>
            </w:r>
            <w:r w:rsidRPr="00BA0154" w:rsidR="2BAEEE40">
              <w:rPr>
                <w:rFonts w:ascii="Arial" w:hAnsi="Arial" w:cs="Arial"/>
                <w:sz w:val="22"/>
                <w:szCs w:val="22"/>
                <w:lang w:val="en-CA"/>
              </w:rPr>
              <w:t>345,272</w:t>
            </w:r>
          </w:p>
        </w:tc>
      </w:tr>
      <w:tr w14:paraId="382EA660" w14:textId="77777777" w:rsidTr="00A3107E">
        <w:tblPrEx>
          <w:tblW w:w="8460" w:type="dxa"/>
          <w:tblInd w:w="105" w:type="dxa"/>
          <w:tblLook w:val="01E0"/>
        </w:tblPrEx>
        <w:trPr>
          <w:trHeight w:val="540"/>
        </w:trPr>
        <w:tc>
          <w:tcPr>
            <w:tcW w:w="1800" w:type="dxa"/>
            <w:tcBorders>
              <w:right w:val="single" w:sz="6" w:space="0" w:color="000000" w:themeColor="text1"/>
            </w:tcBorders>
            <w:tcMar>
              <w:left w:w="105" w:type="dxa"/>
              <w:right w:w="105" w:type="dxa"/>
            </w:tcMar>
            <w:vAlign w:val="center"/>
          </w:tcPr>
          <w:p w:rsidR="709F5254" w:rsidRPr="00BA0154" w:rsidP="709F5254" w14:paraId="5327818B" w14:textId="19714C74">
            <w:pPr>
              <w:rPr>
                <w:rFonts w:ascii="Arial" w:hAnsi="Arial" w:cs="Arial"/>
                <w:sz w:val="22"/>
                <w:szCs w:val="22"/>
              </w:rPr>
            </w:pPr>
            <w:r w:rsidRPr="00BA0154">
              <w:rPr>
                <w:rFonts w:ascii="Arial" w:hAnsi="Arial" w:cs="Arial"/>
                <w:sz w:val="22"/>
                <w:szCs w:val="22"/>
                <w:lang w:val="en-CA"/>
              </w:rPr>
              <w:t xml:space="preserve">Annual Reporting </w:t>
            </w:r>
            <w:r w:rsidRPr="00BA0154">
              <w:rPr>
                <w:rFonts w:ascii="Arial" w:hAnsi="Arial" w:cs="Arial"/>
                <w:sz w:val="22"/>
                <w:szCs w:val="22"/>
                <w:lang w:val="en-CA"/>
              </w:rPr>
              <w:t>Requirements</w:t>
            </w:r>
            <w:r w:rsidRPr="00BA0154" w:rsidR="3A96EBA3">
              <w:rPr>
                <w:rFonts w:ascii="Arial" w:hAnsi="Arial" w:cs="Arial"/>
                <w:sz w:val="22"/>
                <w:szCs w:val="22"/>
                <w:lang w:val="en-CA"/>
              </w:rPr>
              <w:t xml:space="preserve"> (104g)</w:t>
            </w:r>
          </w:p>
        </w:tc>
        <w:tc>
          <w:tcPr>
            <w:tcW w:w="990" w:type="dxa"/>
            <w:tcMar>
              <w:left w:w="105" w:type="dxa"/>
              <w:right w:w="105" w:type="dxa"/>
            </w:tcMar>
            <w:vAlign w:val="center"/>
          </w:tcPr>
          <w:p w:rsidR="709F5254" w:rsidRPr="00BA0154" w:rsidP="00A3107E" w14:paraId="2B0BB067" w14:textId="2E67D1B5">
            <w:pPr>
              <w:tabs>
                <w:tab w:val="left" w:pos="384"/>
                <w:tab w:val="center" w:pos="502"/>
              </w:tabs>
              <w:spacing w:line="259" w:lineRule="auto"/>
              <w:jc w:val="center"/>
              <w:rPr>
                <w:rFonts w:ascii="Arial" w:hAnsi="Arial" w:cs="Arial"/>
                <w:sz w:val="22"/>
                <w:szCs w:val="22"/>
              </w:rPr>
            </w:pPr>
            <w:r w:rsidRPr="00BA0154">
              <w:rPr>
                <w:rFonts w:ascii="Arial" w:hAnsi="Arial" w:cs="Arial"/>
                <w:sz w:val="22"/>
                <w:szCs w:val="22"/>
                <w:lang w:val="en-CA"/>
              </w:rPr>
              <w:t>65</w:t>
            </w:r>
          </w:p>
        </w:tc>
        <w:tc>
          <w:tcPr>
            <w:tcW w:w="1350" w:type="dxa"/>
            <w:tcMar>
              <w:left w:w="105" w:type="dxa"/>
              <w:right w:w="105" w:type="dxa"/>
            </w:tcMar>
            <w:vAlign w:val="center"/>
          </w:tcPr>
          <w:p w:rsidR="709F5254" w:rsidRPr="00BA0154" w:rsidP="709F5254" w14:paraId="54E28BB3" w14:textId="5FE4E817">
            <w:pPr>
              <w:jc w:val="center"/>
              <w:rPr>
                <w:rFonts w:ascii="Arial" w:hAnsi="Arial" w:cs="Arial"/>
                <w:sz w:val="22"/>
                <w:szCs w:val="22"/>
              </w:rPr>
            </w:pPr>
            <w:r w:rsidRPr="00BA0154">
              <w:rPr>
                <w:rFonts w:ascii="Arial" w:hAnsi="Arial" w:cs="Arial"/>
                <w:sz w:val="22"/>
                <w:szCs w:val="22"/>
                <w:lang w:val="en-CA"/>
              </w:rPr>
              <w:t>40</w:t>
            </w:r>
            <w:r w:rsidRPr="00BA0154">
              <w:rPr>
                <w:rFonts w:ascii="Arial" w:hAnsi="Arial" w:cs="Arial"/>
                <w:sz w:val="22"/>
                <w:szCs w:val="22"/>
                <w:lang w:val="en-CA"/>
              </w:rPr>
              <w:t xml:space="preserve"> hours</w:t>
            </w:r>
          </w:p>
        </w:tc>
        <w:tc>
          <w:tcPr>
            <w:tcW w:w="1170" w:type="dxa"/>
            <w:tcMar>
              <w:left w:w="105" w:type="dxa"/>
              <w:right w:w="105" w:type="dxa"/>
            </w:tcMar>
            <w:vAlign w:val="center"/>
          </w:tcPr>
          <w:p w:rsidR="709F5254" w:rsidRPr="00BA0154" w:rsidP="00A3107E" w14:paraId="2D3543D0" w14:textId="6BA8A44D">
            <w:pPr>
              <w:spacing w:line="259" w:lineRule="auto"/>
              <w:jc w:val="center"/>
              <w:rPr>
                <w:rFonts w:ascii="Arial" w:hAnsi="Arial" w:cs="Arial"/>
                <w:sz w:val="22"/>
                <w:szCs w:val="22"/>
              </w:rPr>
            </w:pPr>
            <w:r w:rsidRPr="00BA0154">
              <w:rPr>
                <w:rFonts w:ascii="Arial" w:hAnsi="Arial" w:cs="Arial"/>
                <w:sz w:val="22"/>
                <w:szCs w:val="22"/>
                <w:lang w:val="en-CA"/>
              </w:rPr>
              <w:t>2,600</w:t>
            </w:r>
          </w:p>
        </w:tc>
        <w:tc>
          <w:tcPr>
            <w:tcW w:w="1530" w:type="dxa"/>
            <w:tcMar>
              <w:left w:w="105" w:type="dxa"/>
              <w:right w:w="105" w:type="dxa"/>
            </w:tcMar>
            <w:vAlign w:val="center"/>
          </w:tcPr>
          <w:p w:rsidR="709F5254" w:rsidRPr="00BA0154" w:rsidP="709F5254" w14:paraId="18715EA1" w14:textId="3FB41808">
            <w:pPr>
              <w:jc w:val="center"/>
              <w:rPr>
                <w:rFonts w:ascii="Arial" w:hAnsi="Arial" w:cs="Arial"/>
                <w:sz w:val="22"/>
                <w:szCs w:val="22"/>
                <w:lang w:val="en-CA"/>
              </w:rPr>
            </w:pPr>
            <w:r w:rsidRPr="00BA0154">
              <w:rPr>
                <w:rFonts w:ascii="Arial" w:hAnsi="Arial" w:cs="Arial"/>
                <w:sz w:val="22"/>
                <w:szCs w:val="22"/>
                <w:lang w:val="en-CA"/>
              </w:rPr>
              <w:t>$</w:t>
            </w:r>
            <w:r w:rsidRPr="00BA0154" w:rsidR="066B4180">
              <w:rPr>
                <w:rFonts w:ascii="Arial" w:hAnsi="Arial" w:cs="Arial"/>
                <w:sz w:val="22"/>
                <w:szCs w:val="22"/>
                <w:lang w:val="en-CA"/>
              </w:rPr>
              <w:t>63.94</w:t>
            </w:r>
          </w:p>
        </w:tc>
        <w:tc>
          <w:tcPr>
            <w:tcW w:w="1620" w:type="dxa"/>
            <w:gridSpan w:val="2"/>
            <w:tcMar>
              <w:left w:w="105" w:type="dxa"/>
              <w:right w:w="105" w:type="dxa"/>
            </w:tcMar>
            <w:vAlign w:val="center"/>
          </w:tcPr>
          <w:p w:rsidR="709F5254" w:rsidRPr="00BA0154" w:rsidP="709F5254" w14:paraId="4B2E72E9" w14:textId="668F6C0A">
            <w:pPr>
              <w:tabs>
                <w:tab w:val="left" w:pos="408"/>
                <w:tab w:val="center" w:pos="729"/>
              </w:tabs>
              <w:jc w:val="center"/>
              <w:rPr>
                <w:rFonts w:ascii="Arial" w:hAnsi="Arial" w:cs="Arial"/>
                <w:sz w:val="22"/>
                <w:szCs w:val="22"/>
              </w:rPr>
            </w:pPr>
            <w:r w:rsidRPr="00BA0154">
              <w:rPr>
                <w:rFonts w:ascii="Arial" w:hAnsi="Arial" w:cs="Arial"/>
                <w:sz w:val="22"/>
                <w:szCs w:val="22"/>
                <w:lang w:val="en-CA"/>
              </w:rPr>
              <w:t>$</w:t>
            </w:r>
            <w:r w:rsidRPr="00BA0154" w:rsidR="1667C8C3">
              <w:rPr>
                <w:rFonts w:ascii="Arial" w:hAnsi="Arial" w:cs="Arial"/>
                <w:sz w:val="22"/>
                <w:szCs w:val="22"/>
                <w:lang w:val="en-CA"/>
              </w:rPr>
              <w:t>166,244</w:t>
            </w:r>
          </w:p>
        </w:tc>
      </w:tr>
      <w:tr w14:paraId="47D00E24" w14:textId="77777777" w:rsidTr="6F170215">
        <w:tblPrEx>
          <w:tblW w:w="8460" w:type="dxa"/>
          <w:tblInd w:w="105" w:type="dxa"/>
          <w:tblLook w:val="01E0"/>
        </w:tblPrEx>
        <w:trPr>
          <w:gridAfter w:val="1"/>
          <w:wAfter w:w="68" w:type="dxa"/>
          <w:trHeight w:val="540"/>
        </w:trPr>
        <w:tc>
          <w:tcPr>
            <w:tcW w:w="1800" w:type="dxa"/>
            <w:tcBorders>
              <w:right w:val="single" w:sz="6" w:space="0" w:color="000000" w:themeColor="text1"/>
            </w:tcBorders>
            <w:tcMar>
              <w:left w:w="105" w:type="dxa"/>
              <w:right w:w="105" w:type="dxa"/>
            </w:tcMar>
            <w:vAlign w:val="center"/>
          </w:tcPr>
          <w:p w:rsidR="4531CE45" w:rsidRPr="00BA0154" w:rsidP="6F170215" w14:paraId="797612A1" w14:textId="0B5749AB">
            <w:pPr>
              <w:rPr>
                <w:rFonts w:ascii="Arial" w:hAnsi="Arial" w:cs="Arial"/>
                <w:sz w:val="22"/>
                <w:szCs w:val="22"/>
              </w:rPr>
            </w:pPr>
            <w:r w:rsidRPr="00BA0154">
              <w:rPr>
                <w:rFonts w:ascii="Arial" w:hAnsi="Arial" w:cs="Arial"/>
                <w:sz w:val="22"/>
                <w:szCs w:val="22"/>
                <w:lang w:val="en-CA"/>
              </w:rPr>
              <w:t>Annual Reporting Requirements (both)</w:t>
            </w:r>
          </w:p>
        </w:tc>
        <w:tc>
          <w:tcPr>
            <w:tcW w:w="990" w:type="dxa"/>
            <w:tcMar>
              <w:left w:w="105" w:type="dxa"/>
              <w:right w:w="105" w:type="dxa"/>
            </w:tcMar>
            <w:vAlign w:val="center"/>
          </w:tcPr>
          <w:p w:rsidR="3DC56A7A" w:rsidRPr="00BA0154" w:rsidP="6F170215" w14:paraId="1F63A746" w14:textId="790D20ED">
            <w:pPr>
              <w:jc w:val="center"/>
              <w:rPr>
                <w:rFonts w:ascii="Arial" w:hAnsi="Arial" w:cs="Arial"/>
                <w:sz w:val="22"/>
                <w:szCs w:val="22"/>
                <w:lang w:val="en-CA"/>
              </w:rPr>
            </w:pPr>
            <w:r w:rsidRPr="00BA0154">
              <w:rPr>
                <w:rFonts w:ascii="Arial" w:hAnsi="Arial" w:cs="Arial"/>
                <w:sz w:val="22"/>
                <w:szCs w:val="22"/>
                <w:lang w:val="en-CA"/>
              </w:rPr>
              <w:t>54</w:t>
            </w:r>
          </w:p>
        </w:tc>
        <w:tc>
          <w:tcPr>
            <w:tcW w:w="1350" w:type="dxa"/>
            <w:tcMar>
              <w:left w:w="105" w:type="dxa"/>
              <w:right w:w="105" w:type="dxa"/>
            </w:tcMar>
            <w:vAlign w:val="center"/>
          </w:tcPr>
          <w:p w:rsidR="3DC56A7A" w:rsidRPr="00BA0154" w:rsidP="6F170215" w14:paraId="6F7B308E" w14:textId="0592E3B3">
            <w:pPr>
              <w:jc w:val="center"/>
              <w:rPr>
                <w:rFonts w:ascii="Arial" w:hAnsi="Arial" w:cs="Arial"/>
                <w:sz w:val="22"/>
                <w:szCs w:val="22"/>
                <w:lang w:val="en-CA"/>
              </w:rPr>
            </w:pPr>
            <w:r w:rsidRPr="00BA0154">
              <w:rPr>
                <w:rFonts w:ascii="Arial" w:hAnsi="Arial" w:cs="Arial"/>
                <w:sz w:val="22"/>
                <w:szCs w:val="22"/>
                <w:lang w:val="en-CA"/>
              </w:rPr>
              <w:t>40 hours</w:t>
            </w:r>
          </w:p>
        </w:tc>
        <w:tc>
          <w:tcPr>
            <w:tcW w:w="1170" w:type="dxa"/>
            <w:tcMar>
              <w:left w:w="105" w:type="dxa"/>
              <w:right w:w="105" w:type="dxa"/>
            </w:tcMar>
            <w:vAlign w:val="center"/>
          </w:tcPr>
          <w:p w:rsidR="3DC56A7A" w:rsidRPr="00BA0154" w:rsidP="6F170215" w14:paraId="28B03473" w14:textId="3A03E937">
            <w:pPr>
              <w:jc w:val="center"/>
              <w:rPr>
                <w:rFonts w:ascii="Arial" w:hAnsi="Arial" w:cs="Arial"/>
                <w:sz w:val="22"/>
                <w:szCs w:val="22"/>
                <w:lang w:val="en-CA"/>
              </w:rPr>
            </w:pPr>
            <w:r w:rsidRPr="00BA0154">
              <w:rPr>
                <w:rFonts w:ascii="Arial" w:hAnsi="Arial" w:cs="Arial"/>
                <w:sz w:val="22"/>
                <w:szCs w:val="22"/>
                <w:lang w:val="en-CA"/>
              </w:rPr>
              <w:t>2,160</w:t>
            </w:r>
          </w:p>
        </w:tc>
        <w:tc>
          <w:tcPr>
            <w:tcW w:w="1530" w:type="dxa"/>
            <w:tcMar>
              <w:left w:w="105" w:type="dxa"/>
              <w:right w:w="105" w:type="dxa"/>
            </w:tcMar>
            <w:vAlign w:val="center"/>
          </w:tcPr>
          <w:p w:rsidR="066B4180" w:rsidRPr="00BA0154" w:rsidP="6F170215" w14:paraId="39932B08" w14:textId="4F232157">
            <w:pPr>
              <w:jc w:val="center"/>
              <w:rPr>
                <w:rFonts w:ascii="Arial" w:hAnsi="Arial" w:cs="Arial"/>
                <w:sz w:val="22"/>
                <w:szCs w:val="22"/>
              </w:rPr>
            </w:pPr>
            <w:r w:rsidRPr="00BA0154">
              <w:rPr>
                <w:rFonts w:ascii="Arial" w:hAnsi="Arial" w:cs="Arial"/>
                <w:sz w:val="22"/>
                <w:szCs w:val="22"/>
                <w:lang w:val="en-CA"/>
              </w:rPr>
              <w:t>$63.94</w:t>
            </w:r>
          </w:p>
        </w:tc>
        <w:tc>
          <w:tcPr>
            <w:tcW w:w="1620" w:type="dxa"/>
            <w:tcMar>
              <w:left w:w="105" w:type="dxa"/>
              <w:right w:w="105" w:type="dxa"/>
            </w:tcMar>
            <w:vAlign w:val="center"/>
          </w:tcPr>
          <w:p w:rsidR="066B4180" w:rsidRPr="00BA0154" w:rsidP="6F170215" w14:paraId="7D96DD96" w14:textId="4BB9BA13">
            <w:pPr>
              <w:jc w:val="center"/>
              <w:rPr>
                <w:rFonts w:ascii="Arial" w:hAnsi="Arial" w:cs="Arial"/>
                <w:sz w:val="22"/>
                <w:szCs w:val="22"/>
              </w:rPr>
            </w:pPr>
            <w:r w:rsidRPr="00BA0154">
              <w:rPr>
                <w:rFonts w:ascii="Arial" w:hAnsi="Arial" w:cs="Arial"/>
                <w:sz w:val="22"/>
                <w:szCs w:val="22"/>
                <w:lang w:val="en-CA"/>
              </w:rPr>
              <w:t>$138,110</w:t>
            </w:r>
          </w:p>
        </w:tc>
      </w:tr>
      <w:tr w14:paraId="3B84B3A7" w14:textId="77777777" w:rsidTr="00A3107E">
        <w:tblPrEx>
          <w:tblW w:w="8460" w:type="dxa"/>
          <w:tblInd w:w="105" w:type="dxa"/>
          <w:tblLook w:val="01E0"/>
        </w:tblPrEx>
        <w:trPr>
          <w:trHeight w:val="525"/>
        </w:trPr>
        <w:tc>
          <w:tcPr>
            <w:tcW w:w="1800" w:type="dxa"/>
            <w:tcBorders>
              <w:top w:val="single" w:sz="6" w:space="0" w:color="000000" w:themeColor="text1"/>
              <w:bottom w:val="single" w:sz="12" w:space="0" w:color="000000" w:themeColor="text1"/>
              <w:right w:val="single" w:sz="6" w:space="0" w:color="000000" w:themeColor="text1"/>
            </w:tcBorders>
            <w:tcMar>
              <w:left w:w="105" w:type="dxa"/>
              <w:right w:w="105" w:type="dxa"/>
            </w:tcMar>
            <w:vAlign w:val="center"/>
          </w:tcPr>
          <w:p w:rsidR="709F5254" w:rsidRPr="00BA0154" w:rsidP="709F5254" w14:paraId="166E2132" w14:textId="2B69FE90">
            <w:pPr>
              <w:rPr>
                <w:rFonts w:ascii="Arial" w:hAnsi="Arial" w:cs="Arial"/>
                <w:sz w:val="22"/>
                <w:szCs w:val="22"/>
              </w:rPr>
            </w:pPr>
            <w:r w:rsidRPr="00BA0154">
              <w:rPr>
                <w:rFonts w:ascii="Arial" w:hAnsi="Arial" w:cs="Arial"/>
                <w:sz w:val="22"/>
                <w:szCs w:val="22"/>
                <w:lang w:val="en-CA"/>
              </w:rPr>
              <w:t>TOTAL</w:t>
            </w:r>
          </w:p>
        </w:tc>
        <w:tc>
          <w:tcPr>
            <w:tcW w:w="990" w:type="dxa"/>
            <w:tcBorders>
              <w:top w:val="single" w:sz="6" w:space="0" w:color="000000" w:themeColor="text1"/>
              <w:bottom w:val="single" w:sz="12" w:space="0" w:color="000000" w:themeColor="text1"/>
            </w:tcBorders>
            <w:tcMar>
              <w:left w:w="105" w:type="dxa"/>
              <w:right w:w="105" w:type="dxa"/>
            </w:tcMar>
            <w:vAlign w:val="center"/>
          </w:tcPr>
          <w:p w:rsidR="709F5254" w:rsidRPr="00BA0154" w:rsidP="709F5254" w14:paraId="57714C5A" w14:textId="2730B3BF">
            <w:pPr>
              <w:jc w:val="center"/>
              <w:rPr>
                <w:rFonts w:ascii="Arial" w:hAnsi="Arial" w:cs="Arial"/>
                <w:sz w:val="22"/>
                <w:szCs w:val="22"/>
              </w:rPr>
            </w:pPr>
            <w:r w:rsidRPr="00BA0154">
              <w:rPr>
                <w:rFonts w:ascii="Arial" w:hAnsi="Arial" w:cs="Arial"/>
                <w:b/>
                <w:bCs/>
                <w:sz w:val="22"/>
                <w:szCs w:val="22"/>
                <w:lang w:val="en-CA"/>
              </w:rPr>
              <w:t>1</w:t>
            </w:r>
            <w:r w:rsidRPr="00BA0154" w:rsidR="46B4819B">
              <w:rPr>
                <w:rFonts w:ascii="Arial" w:hAnsi="Arial" w:cs="Arial"/>
                <w:b/>
                <w:bCs/>
                <w:sz w:val="22"/>
                <w:szCs w:val="22"/>
                <w:lang w:val="en-CA"/>
              </w:rPr>
              <w:t>73</w:t>
            </w:r>
          </w:p>
        </w:tc>
        <w:tc>
          <w:tcPr>
            <w:tcW w:w="1350" w:type="dxa"/>
            <w:tcBorders>
              <w:top w:val="single" w:sz="6" w:space="0" w:color="000000" w:themeColor="text1"/>
              <w:bottom w:val="single" w:sz="12" w:space="0" w:color="000000" w:themeColor="text1"/>
            </w:tcBorders>
            <w:tcMar>
              <w:left w:w="105" w:type="dxa"/>
              <w:right w:w="105" w:type="dxa"/>
            </w:tcMar>
            <w:vAlign w:val="center"/>
          </w:tcPr>
          <w:p w:rsidR="709F5254" w:rsidRPr="00BA0154" w:rsidP="709F5254" w14:paraId="471025BC" w14:textId="3DE6212E">
            <w:pPr>
              <w:rPr>
                <w:rFonts w:ascii="Arial" w:hAnsi="Arial" w:cs="Arial"/>
                <w:sz w:val="22"/>
                <w:szCs w:val="22"/>
              </w:rPr>
            </w:pPr>
          </w:p>
        </w:tc>
        <w:tc>
          <w:tcPr>
            <w:tcW w:w="1170" w:type="dxa"/>
            <w:tcBorders>
              <w:top w:val="single" w:sz="6" w:space="0" w:color="000000" w:themeColor="text1"/>
              <w:bottom w:val="single" w:sz="12" w:space="0" w:color="000000" w:themeColor="text1"/>
            </w:tcBorders>
            <w:tcMar>
              <w:left w:w="105" w:type="dxa"/>
              <w:right w:w="105" w:type="dxa"/>
            </w:tcMar>
            <w:vAlign w:val="center"/>
          </w:tcPr>
          <w:p w:rsidR="709F5254" w:rsidRPr="00BA0154" w:rsidP="00A3107E" w14:paraId="4C4171E7" w14:textId="126C6062">
            <w:pPr>
              <w:spacing w:line="259" w:lineRule="auto"/>
              <w:jc w:val="center"/>
              <w:rPr>
                <w:rFonts w:ascii="Arial" w:hAnsi="Arial" w:cs="Arial"/>
                <w:sz w:val="22"/>
                <w:szCs w:val="22"/>
              </w:rPr>
            </w:pPr>
            <w:r w:rsidRPr="00BA0154">
              <w:rPr>
                <w:rFonts w:ascii="Arial" w:hAnsi="Arial" w:cs="Arial"/>
                <w:b/>
                <w:bCs/>
                <w:sz w:val="22"/>
                <w:szCs w:val="22"/>
                <w:lang w:val="en-CA"/>
              </w:rPr>
              <w:t>10,160</w:t>
            </w:r>
          </w:p>
        </w:tc>
        <w:tc>
          <w:tcPr>
            <w:tcW w:w="1530" w:type="dxa"/>
            <w:tcBorders>
              <w:top w:val="single" w:sz="6" w:space="0" w:color="000000" w:themeColor="text1"/>
              <w:bottom w:val="single" w:sz="12" w:space="0" w:color="000000" w:themeColor="text1"/>
            </w:tcBorders>
            <w:tcMar>
              <w:left w:w="105" w:type="dxa"/>
              <w:right w:w="105" w:type="dxa"/>
            </w:tcMar>
            <w:vAlign w:val="center"/>
          </w:tcPr>
          <w:p w:rsidR="709F5254" w:rsidRPr="00BA0154" w:rsidP="709F5254" w14:paraId="0DE00C61" w14:textId="1C72809E">
            <w:pPr>
              <w:rPr>
                <w:rFonts w:ascii="Arial" w:hAnsi="Arial" w:cs="Arial"/>
                <w:sz w:val="22"/>
                <w:szCs w:val="22"/>
              </w:rPr>
            </w:pPr>
          </w:p>
        </w:tc>
        <w:tc>
          <w:tcPr>
            <w:tcW w:w="1620" w:type="dxa"/>
            <w:gridSpan w:val="2"/>
            <w:tcBorders>
              <w:top w:val="single" w:sz="6" w:space="0" w:color="000000" w:themeColor="text1"/>
              <w:bottom w:val="single" w:sz="12" w:space="0" w:color="000000" w:themeColor="text1"/>
            </w:tcBorders>
            <w:tcMar>
              <w:left w:w="105" w:type="dxa"/>
              <w:right w:w="105" w:type="dxa"/>
            </w:tcMar>
            <w:vAlign w:val="center"/>
          </w:tcPr>
          <w:p w:rsidR="709F5254" w:rsidRPr="00BA0154" w:rsidP="709F5254" w14:paraId="1C617361" w14:textId="62BA59B4">
            <w:pPr>
              <w:jc w:val="center"/>
              <w:rPr>
                <w:rFonts w:ascii="Arial" w:hAnsi="Arial" w:cs="Arial"/>
                <w:sz w:val="22"/>
                <w:szCs w:val="22"/>
              </w:rPr>
            </w:pPr>
            <w:r w:rsidRPr="00BA0154">
              <w:rPr>
                <w:rFonts w:ascii="Arial" w:hAnsi="Arial" w:cs="Arial"/>
                <w:b/>
                <w:sz w:val="22"/>
                <w:szCs w:val="22"/>
                <w:lang w:val="en-CA"/>
              </w:rPr>
              <w:t>$</w:t>
            </w:r>
            <w:r w:rsidRPr="00BA0154" w:rsidR="1A98E520">
              <w:rPr>
                <w:rFonts w:ascii="Arial" w:hAnsi="Arial" w:cs="Arial"/>
                <w:b/>
                <w:bCs/>
                <w:sz w:val="22"/>
                <w:szCs w:val="22"/>
                <w:lang w:val="en-CA"/>
              </w:rPr>
              <w:t>649,630</w:t>
            </w:r>
          </w:p>
        </w:tc>
      </w:tr>
    </w:tbl>
    <w:p w:rsidR="709F5254" w:rsidRPr="00BA0154" w:rsidP="709F5254" w14:paraId="3708BAD9" w14:textId="2BDA954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709F5254" w:rsidRPr="00BA0154" w:rsidP="709F5254" w14:paraId="6319F6F4" w14:textId="380EB266">
      <w:pPr>
        <w:tabs>
          <w:tab w:val="left" w:pos="450"/>
          <w:tab w:val="left" w:pos="720"/>
        </w:tabs>
        <w:rPr>
          <w:rFonts w:ascii="Arial" w:eastAsia="Arial" w:hAnsi="Arial" w:cs="Arial"/>
          <w:sz w:val="22"/>
          <w:szCs w:val="22"/>
        </w:rPr>
      </w:pPr>
    </w:p>
    <w:p w:rsidR="709F5254" w:rsidRPr="00BA0154" w:rsidP="709F5254" w14:paraId="43771494" w14:textId="54BDDD2D">
      <w:pPr>
        <w:tabs>
          <w:tab w:val="left" w:pos="450"/>
          <w:tab w:val="left" w:pos="720"/>
        </w:tabs>
        <w:rPr>
          <w:rFonts w:ascii="Arial" w:hAnsi="Arial" w:cs="Arial"/>
          <w:sz w:val="22"/>
          <w:szCs w:val="22"/>
        </w:rPr>
      </w:pPr>
    </w:p>
    <w:p w:rsidR="00FA14F6" w:rsidRPr="00BA0154" w:rsidP="00FA14F6" w14:paraId="066E2001" w14:textId="77777777">
      <w:pPr>
        <w:tabs>
          <w:tab w:val="left" w:pos="360"/>
          <w:tab w:val="left" w:pos="720"/>
        </w:tabs>
        <w:rPr>
          <w:rFonts w:ascii="Arial" w:hAnsi="Arial" w:cs="Arial"/>
          <w:sz w:val="22"/>
          <w:szCs w:val="22"/>
        </w:rPr>
      </w:pPr>
      <w:r w:rsidRPr="00BA0154">
        <w:rPr>
          <w:rFonts w:ascii="Arial" w:hAnsi="Arial" w:cs="Arial"/>
          <w:sz w:val="22"/>
          <w:szCs w:val="22"/>
        </w:rPr>
        <w:t xml:space="preserve">  </w:t>
      </w:r>
    </w:p>
    <w:p w:rsidR="00FA14F6" w:rsidRPr="00BA0154" w:rsidP="00FA14F6" w14:paraId="13752424" w14:textId="77777777">
      <w:pPr>
        <w:tabs>
          <w:tab w:val="left" w:pos="-1080"/>
          <w:tab w:val="left" w:pos="-720"/>
          <w:tab w:val="left" w:pos="450"/>
          <w:tab w:val="left" w:pos="720"/>
        </w:tabs>
        <w:rPr>
          <w:rFonts w:ascii="Arial" w:hAnsi="Arial" w:cs="Arial"/>
          <w:b/>
          <w:sz w:val="22"/>
          <w:szCs w:val="22"/>
        </w:rPr>
      </w:pPr>
      <w:r w:rsidRPr="00BA0154">
        <w:rPr>
          <w:rFonts w:ascii="Arial" w:hAnsi="Arial" w:cs="Arial"/>
          <w:b/>
          <w:sz w:val="22"/>
          <w:szCs w:val="22"/>
        </w:rPr>
        <w:t>13.</w:t>
      </w:r>
      <w:r w:rsidRPr="00BA015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BA0154" w:rsidP="68B34EAC" w14:paraId="0FF8272A" w14:textId="77777777">
      <w:pPr>
        <w:tabs>
          <w:tab w:val="left" w:pos="360"/>
          <w:tab w:val="left" w:pos="720"/>
        </w:tabs>
        <w:ind w:left="720" w:hanging="720"/>
        <w:rPr>
          <w:rFonts w:ascii="Arial" w:hAnsi="Arial" w:cs="Arial"/>
          <w:b/>
          <w:bCs/>
          <w:sz w:val="22"/>
          <w:szCs w:val="22"/>
        </w:rPr>
      </w:pPr>
      <w:r w:rsidRPr="00BA0154">
        <w:rPr>
          <w:rFonts w:ascii="Arial" w:hAnsi="Arial" w:cs="Arial"/>
          <w:b/>
          <w:bCs/>
          <w:sz w:val="22"/>
          <w:szCs w:val="22"/>
        </w:rPr>
        <w:t>*</w:t>
      </w:r>
      <w:r w:rsidRPr="00BA0154">
        <w:rPr>
          <w:rFonts w:ascii="Arial" w:hAnsi="Arial" w:cs="Arial"/>
          <w:b/>
          <w:sz w:val="22"/>
          <w:szCs w:val="22"/>
        </w:rPr>
        <w:tab/>
      </w:r>
      <w:r w:rsidRPr="00BA0154">
        <w:rPr>
          <w:rFonts w:ascii="Arial" w:hAnsi="Arial" w:cs="Arial"/>
          <w:b/>
          <w:bCs/>
          <w:sz w:val="22"/>
          <w:szCs w:val="22"/>
        </w:rPr>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BA0154" w:rsidP="68B34EAC" w14:paraId="3E031E92" w14:textId="77777777">
      <w:pPr>
        <w:tabs>
          <w:tab w:val="left" w:pos="360"/>
          <w:tab w:val="left" w:pos="720"/>
        </w:tabs>
        <w:ind w:left="720" w:hanging="720"/>
        <w:rPr>
          <w:rFonts w:ascii="Arial" w:hAnsi="Arial" w:cs="Arial"/>
          <w:b/>
          <w:bCs/>
          <w:sz w:val="22"/>
          <w:szCs w:val="22"/>
        </w:rPr>
      </w:pPr>
      <w:r w:rsidRPr="00BA0154">
        <w:rPr>
          <w:rFonts w:ascii="Arial" w:hAnsi="Arial" w:cs="Arial"/>
          <w:b/>
          <w:bCs/>
          <w:sz w:val="22"/>
          <w:szCs w:val="22"/>
        </w:rPr>
        <w:t>*</w:t>
      </w:r>
      <w:r w:rsidRPr="00BA0154">
        <w:rPr>
          <w:rFonts w:ascii="Arial" w:hAnsi="Arial" w:cs="Arial"/>
          <w:b/>
          <w:sz w:val="22"/>
          <w:szCs w:val="22"/>
        </w:rPr>
        <w:tab/>
      </w:r>
      <w:r w:rsidRPr="00BA0154">
        <w:rPr>
          <w:rFonts w:ascii="Arial" w:hAnsi="Arial" w:cs="Arial"/>
          <w:b/>
          <w:bCs/>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BA0154" w:rsidP="709F5254" w14:paraId="7C687BC5" w14:textId="08460CE5">
      <w:pPr>
        <w:tabs>
          <w:tab w:val="left" w:pos="360"/>
          <w:tab w:val="left" w:pos="720"/>
        </w:tabs>
        <w:ind w:left="720" w:hanging="720"/>
        <w:rPr>
          <w:rFonts w:ascii="Arial" w:hAnsi="Arial" w:cs="Arial"/>
          <w:sz w:val="22"/>
          <w:szCs w:val="22"/>
        </w:rPr>
      </w:pPr>
      <w:r w:rsidRPr="00BA0154">
        <w:rPr>
          <w:rFonts w:ascii="Arial" w:hAnsi="Arial" w:cs="Arial"/>
          <w:b/>
          <w:bCs/>
          <w:sz w:val="22"/>
          <w:szCs w:val="22"/>
        </w:rPr>
        <w:t>*</w:t>
      </w:r>
      <w:r w:rsidRPr="00BA0154">
        <w:rPr>
          <w:rFonts w:ascii="Arial" w:hAnsi="Arial" w:cs="Arial"/>
          <w:sz w:val="22"/>
          <w:szCs w:val="22"/>
        </w:rPr>
        <w:tab/>
      </w:r>
      <w:r w:rsidRPr="00BA0154">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709F5254" w:rsidRPr="00BA0154" w:rsidP="709F5254" w14:paraId="31DB3C66" w14:textId="55AAC653">
      <w:pPr>
        <w:tabs>
          <w:tab w:val="left" w:pos="450"/>
          <w:tab w:val="left" w:pos="720"/>
        </w:tabs>
        <w:rPr>
          <w:rFonts w:ascii="Arial" w:hAnsi="Arial" w:cs="Arial"/>
          <w:sz w:val="22"/>
          <w:szCs w:val="22"/>
        </w:rPr>
      </w:pPr>
    </w:p>
    <w:p w:rsidR="00FA14F6" w:rsidRPr="00BA0154" w:rsidP="709F5254" w14:paraId="1FBD75F9" w14:textId="3B602502">
      <w:pPr>
        <w:tabs>
          <w:tab w:val="left" w:pos="450"/>
          <w:tab w:val="left" w:pos="720"/>
        </w:tabs>
        <w:rPr>
          <w:rFonts w:ascii="Arial" w:hAnsi="Arial" w:cs="Arial"/>
          <w:sz w:val="22"/>
          <w:szCs w:val="22"/>
        </w:rPr>
      </w:pPr>
      <w:r w:rsidRPr="00BA0154">
        <w:rPr>
          <w:rFonts w:ascii="Arial" w:hAnsi="Arial" w:cs="Arial"/>
          <w:sz w:val="22"/>
          <w:szCs w:val="22"/>
        </w:rPr>
        <w:t>We have not identified any non-hour cost burden associated with this collection.</w:t>
      </w:r>
    </w:p>
    <w:p w:rsidR="00FA14F6" w:rsidRPr="00BA0154" w:rsidP="709F5254" w14:paraId="5BE9C4DC" w14:textId="3CBF2B10">
      <w:pPr>
        <w:widowControl/>
        <w:tabs>
          <w:tab w:val="left" w:pos="360"/>
          <w:tab w:val="left" w:pos="720"/>
        </w:tabs>
        <w:rPr>
          <w:rFonts w:ascii="Arial" w:hAnsi="Arial" w:cs="Arial"/>
          <w:sz w:val="22"/>
          <w:szCs w:val="22"/>
        </w:rPr>
      </w:pPr>
    </w:p>
    <w:p w:rsidR="00FA14F6" w:rsidRPr="00BA0154" w:rsidP="709F5254" w14:paraId="32320BAE" w14:textId="77777777">
      <w:pPr>
        <w:tabs>
          <w:tab w:val="left" w:pos="450"/>
          <w:tab w:val="left" w:pos="720"/>
        </w:tabs>
        <w:rPr>
          <w:rFonts w:ascii="Arial" w:hAnsi="Arial" w:cs="Arial"/>
          <w:b/>
          <w:bCs/>
          <w:sz w:val="22"/>
          <w:szCs w:val="22"/>
        </w:rPr>
      </w:pPr>
      <w:r w:rsidRPr="00BA0154">
        <w:rPr>
          <w:rFonts w:ascii="Arial" w:hAnsi="Arial" w:cs="Arial"/>
          <w:b/>
          <w:bCs/>
          <w:sz w:val="22"/>
          <w:szCs w:val="22"/>
        </w:rPr>
        <w:t>14.</w:t>
      </w:r>
      <w:r w:rsidRPr="00BA0154">
        <w:rPr>
          <w:rFonts w:ascii="Arial" w:hAnsi="Arial" w:cs="Arial"/>
          <w:sz w:val="22"/>
          <w:szCs w:val="22"/>
        </w:rPr>
        <w:tab/>
      </w:r>
      <w:r w:rsidRPr="00BA0154">
        <w:rPr>
          <w:rFonts w:ascii="Arial" w:hAnsi="Arial" w:cs="Arial"/>
          <w:b/>
          <w:bCs/>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BA0154" w:rsidP="709F5254" w14:paraId="0154CB3F" w14:textId="79BC6346">
      <w:pPr>
        <w:tabs>
          <w:tab w:val="left" w:pos="450"/>
          <w:tab w:val="left" w:pos="720"/>
        </w:tabs>
        <w:rPr>
          <w:rFonts w:ascii="Arial" w:hAnsi="Arial" w:cs="Arial"/>
          <w:b/>
          <w:bCs/>
          <w:sz w:val="22"/>
          <w:szCs w:val="22"/>
        </w:rPr>
      </w:pPr>
    </w:p>
    <w:p w:rsidR="00FA14F6" w:rsidRPr="00BA0154" w:rsidP="709F5254" w14:paraId="720CF04C" w14:textId="6495E68E">
      <w:pPr>
        <w:tabs>
          <w:tab w:val="left" w:pos="1440"/>
          <w:tab w:val="left" w:pos="2160"/>
        </w:tabs>
        <w:rPr>
          <w:rFonts w:ascii="Arial" w:hAnsi="Arial" w:cs="Arial"/>
          <w:color w:val="000000" w:themeColor="text1"/>
          <w:sz w:val="22"/>
          <w:szCs w:val="22"/>
        </w:rPr>
      </w:pPr>
      <w:r w:rsidRPr="00BA0154">
        <w:rPr>
          <w:rFonts w:ascii="Arial" w:hAnsi="Arial" w:cs="Arial"/>
          <w:color w:val="000000" w:themeColor="text1"/>
          <w:sz w:val="22"/>
          <w:szCs w:val="22"/>
        </w:rPr>
        <w:t>The total estimated cost to the Federal Government for processing and reviewing applications and reviewing reports as a result of this collection of information is $</w:t>
      </w:r>
      <w:r w:rsidRPr="00BA0154" w:rsidR="166638A7">
        <w:rPr>
          <w:rFonts w:ascii="Arial" w:hAnsi="Arial" w:cs="Arial"/>
          <w:color w:val="000000" w:themeColor="text1"/>
          <w:sz w:val="22"/>
          <w:szCs w:val="22"/>
        </w:rPr>
        <w:t>120,600</w:t>
      </w:r>
      <w:r w:rsidRPr="00BA0154">
        <w:rPr>
          <w:rFonts w:ascii="Arial" w:hAnsi="Arial" w:cs="Arial"/>
          <w:color w:val="000000" w:themeColor="text1"/>
          <w:sz w:val="22"/>
          <w:szCs w:val="22"/>
        </w:rPr>
        <w:t xml:space="preserve">. This includes </w:t>
      </w:r>
      <w:r w:rsidRPr="00BA0154">
        <w:rPr>
          <w:rFonts w:ascii="Arial" w:hAnsi="Arial" w:cs="Arial"/>
          <w:color w:val="000000" w:themeColor="text1"/>
          <w:sz w:val="22"/>
          <w:szCs w:val="22"/>
        </w:rPr>
        <w:t>Federal employee salaries and benefits.  Table 2 below shows Federal staff and grade levels performing various tasks associated with this information collection. We used the Office of Personnel Management Salary Table 20</w:t>
      </w:r>
      <w:r w:rsidRPr="00BA0154" w:rsidR="0C833DD4">
        <w:rPr>
          <w:rFonts w:ascii="Arial" w:hAnsi="Arial" w:cs="Arial"/>
          <w:color w:val="000000" w:themeColor="text1"/>
          <w:sz w:val="22"/>
          <w:szCs w:val="22"/>
        </w:rPr>
        <w:t>26</w:t>
      </w:r>
      <w:r w:rsidRPr="00BA0154">
        <w:rPr>
          <w:rFonts w:ascii="Arial" w:hAnsi="Arial" w:cs="Arial"/>
          <w:color w:val="000000" w:themeColor="text1"/>
          <w:sz w:val="22"/>
          <w:szCs w:val="22"/>
        </w:rPr>
        <w:t>-Washington, Baltimore Northern Virginia pay rate (</w:t>
      </w:r>
      <w:hyperlink r:id="rId10">
        <w:r w:rsidRPr="00BA0154" w:rsidR="3F28EAFF">
          <w:rPr>
            <w:rStyle w:val="Hyperlink"/>
            <w:rFonts w:ascii="Arial" w:hAnsi="Arial" w:cs="Arial"/>
            <w:sz w:val="22"/>
            <w:szCs w:val="22"/>
          </w:rPr>
          <w:t>SALARY TABLE 2026-DCB)</w:t>
        </w:r>
      </w:hyperlink>
      <w:r w:rsidRPr="00BA0154">
        <w:rPr>
          <w:rFonts w:ascii="Arial" w:hAnsi="Arial" w:cs="Arial"/>
          <w:color w:val="000000" w:themeColor="text1"/>
          <w:sz w:val="22"/>
          <w:szCs w:val="22"/>
        </w:rPr>
        <w:t xml:space="preserve"> to determine the hourly rate. We multiplied the hourly rate by 1.5 to account for benefits.</w:t>
      </w:r>
    </w:p>
    <w:p w:rsidR="00FA14F6" w:rsidRPr="00BA0154" w:rsidP="709F5254" w14:paraId="4CD74C83" w14:textId="4A154B3B">
      <w:pPr>
        <w:rPr>
          <w:rFonts w:ascii="Arial" w:hAnsi="Arial" w:cs="Arial"/>
          <w:color w:val="000000" w:themeColor="text1"/>
          <w:sz w:val="22"/>
          <w:szCs w:val="22"/>
        </w:rPr>
      </w:pPr>
    </w:p>
    <w:p w:rsidR="00FA14F6" w:rsidRPr="00BA0154" w:rsidP="709F5254" w14:paraId="0A129E92" w14:textId="0E6F2AD1">
      <w:pPr>
        <w:rPr>
          <w:rFonts w:ascii="Arial" w:hAnsi="Arial" w:cs="Arial"/>
          <w:color w:val="000000" w:themeColor="text1"/>
          <w:sz w:val="22"/>
          <w:szCs w:val="22"/>
        </w:rPr>
      </w:pPr>
      <w:r w:rsidRPr="00BA0154">
        <w:rPr>
          <w:rFonts w:ascii="Arial" w:hAnsi="Arial" w:cs="Arial"/>
          <w:b/>
          <w:color w:val="000000" w:themeColor="text1"/>
          <w:sz w:val="22"/>
          <w:szCs w:val="22"/>
        </w:rPr>
        <w:t>Table 2. Annual Cost to the Federal Government</w:t>
      </w:r>
    </w:p>
    <w:p w:rsidR="00FA14F6" w:rsidRPr="00BA0154" w:rsidP="709F5254" w14:paraId="20A07B9A" w14:textId="20202DA7">
      <w:pPr>
        <w:tabs>
          <w:tab w:val="left" w:pos="1665"/>
        </w:tabs>
        <w:rPr>
          <w:rFonts w:ascii="Arial" w:hAnsi="Arial" w:cs="Arial"/>
          <w:color w:val="000000" w:themeColor="text1"/>
          <w:sz w:val="22"/>
          <w:szCs w:val="22"/>
        </w:rPr>
      </w:pPr>
    </w:p>
    <w:tbl>
      <w:tblPr>
        <w:tblW w:w="0" w:type="auto"/>
        <w:tblInd w:w="195" w:type="dxa"/>
        <w:tblBorders>
          <w:top w:val="single" w:sz="6" w:space="0" w:color="auto"/>
          <w:left w:val="single" w:sz="6" w:space="0" w:color="auto"/>
          <w:bottom w:val="single" w:sz="6" w:space="0" w:color="auto"/>
          <w:right w:val="single" w:sz="6" w:space="0" w:color="auto"/>
        </w:tblBorders>
        <w:tblLook w:val="0000"/>
      </w:tblPr>
      <w:tblGrid>
        <w:gridCol w:w="2250"/>
        <w:gridCol w:w="1170"/>
        <w:gridCol w:w="990"/>
        <w:gridCol w:w="1260"/>
        <w:gridCol w:w="1530"/>
        <w:gridCol w:w="1800"/>
        <w:gridCol w:w="71"/>
      </w:tblGrid>
      <w:tr w14:paraId="7DBAC4EC" w14:textId="77777777" w:rsidTr="709F5254">
        <w:tblPrEx>
          <w:tblW w:w="0" w:type="auto"/>
          <w:tblInd w:w="195" w:type="dxa"/>
          <w:tblBorders>
            <w:top w:val="single" w:sz="6" w:space="0" w:color="auto"/>
            <w:left w:val="single" w:sz="6" w:space="0" w:color="auto"/>
            <w:bottom w:val="single" w:sz="6" w:space="0" w:color="auto"/>
            <w:right w:val="single" w:sz="6" w:space="0" w:color="auto"/>
          </w:tblBorders>
          <w:tblLook w:val="0000"/>
        </w:tblPrEx>
        <w:trPr>
          <w:gridAfter w:val="1"/>
          <w:wAfter w:w="71" w:type="dxa"/>
          <w:trHeight w:val="825"/>
        </w:trPr>
        <w:tc>
          <w:tcPr>
            <w:tcW w:w="225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vAlign w:val="center"/>
          </w:tcPr>
          <w:p w:rsidR="709F5254" w:rsidRPr="00BA0154" w:rsidP="709F5254" w14:paraId="4EBDC3A0" w14:textId="5EC5D25E">
            <w:pPr>
              <w:jc w:val="center"/>
              <w:rPr>
                <w:rFonts w:ascii="Arial" w:hAnsi="Arial" w:cs="Arial"/>
                <w:sz w:val="22"/>
                <w:szCs w:val="22"/>
              </w:rPr>
            </w:pPr>
            <w:r w:rsidRPr="00BA0154">
              <w:rPr>
                <w:rFonts w:ascii="Arial" w:hAnsi="Arial" w:cs="Arial"/>
                <w:b/>
                <w:sz w:val="22"/>
                <w:szCs w:val="22"/>
              </w:rPr>
              <w:t>Position</w:t>
            </w:r>
          </w:p>
        </w:tc>
        <w:tc>
          <w:tcPr>
            <w:tcW w:w="117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vAlign w:val="center"/>
          </w:tcPr>
          <w:p w:rsidR="709F5254" w:rsidRPr="00BA0154" w:rsidP="709F5254" w14:paraId="3D622B2D" w14:textId="363E73AB">
            <w:pPr>
              <w:jc w:val="center"/>
              <w:rPr>
                <w:rFonts w:ascii="Arial" w:hAnsi="Arial" w:cs="Arial"/>
                <w:sz w:val="22"/>
                <w:szCs w:val="22"/>
              </w:rPr>
            </w:pPr>
            <w:r w:rsidRPr="00BA0154">
              <w:rPr>
                <w:rFonts w:ascii="Arial" w:hAnsi="Arial" w:cs="Arial"/>
                <w:b/>
                <w:sz w:val="22"/>
                <w:szCs w:val="22"/>
              </w:rPr>
              <w:t>Grade/</w:t>
            </w:r>
          </w:p>
          <w:p w:rsidR="709F5254" w:rsidRPr="00BA0154" w:rsidP="709F5254" w14:paraId="09D983E3" w14:textId="3BCFBF4B">
            <w:pPr>
              <w:jc w:val="center"/>
              <w:rPr>
                <w:rFonts w:ascii="Arial" w:hAnsi="Arial" w:cs="Arial"/>
                <w:sz w:val="22"/>
                <w:szCs w:val="22"/>
              </w:rPr>
            </w:pPr>
            <w:r w:rsidRPr="00BA0154">
              <w:rPr>
                <w:rFonts w:ascii="Arial" w:hAnsi="Arial" w:cs="Arial"/>
                <w:b/>
                <w:sz w:val="22"/>
                <w:szCs w:val="22"/>
              </w:rPr>
              <w:t>Step</w:t>
            </w:r>
          </w:p>
        </w:tc>
        <w:tc>
          <w:tcPr>
            <w:tcW w:w="99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vAlign w:val="center"/>
          </w:tcPr>
          <w:p w:rsidR="709F5254" w:rsidRPr="00BA0154" w:rsidP="709F5254" w14:paraId="3212F6A4" w14:textId="597604C1">
            <w:pPr>
              <w:jc w:val="center"/>
              <w:rPr>
                <w:rFonts w:ascii="Arial" w:hAnsi="Arial" w:cs="Arial"/>
                <w:sz w:val="22"/>
                <w:szCs w:val="22"/>
              </w:rPr>
            </w:pPr>
            <w:r w:rsidRPr="00BA0154">
              <w:rPr>
                <w:rFonts w:ascii="Arial" w:hAnsi="Arial" w:cs="Arial"/>
                <w:b/>
                <w:sz w:val="22"/>
                <w:szCs w:val="22"/>
              </w:rPr>
              <w:t>Hourly Rate</w:t>
            </w:r>
          </w:p>
        </w:tc>
        <w:tc>
          <w:tcPr>
            <w:tcW w:w="126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vAlign w:val="center"/>
          </w:tcPr>
          <w:p w:rsidR="709F5254" w:rsidRPr="00BA0154" w:rsidP="709F5254" w14:paraId="5F1C70C8" w14:textId="69CA8554">
            <w:pPr>
              <w:jc w:val="center"/>
              <w:rPr>
                <w:rFonts w:ascii="Arial" w:hAnsi="Arial" w:cs="Arial"/>
                <w:sz w:val="22"/>
                <w:szCs w:val="22"/>
              </w:rPr>
            </w:pPr>
            <w:r w:rsidRPr="00BA0154">
              <w:rPr>
                <w:rFonts w:ascii="Arial" w:hAnsi="Arial" w:cs="Arial"/>
                <w:b/>
                <w:sz w:val="22"/>
                <w:szCs w:val="22"/>
              </w:rPr>
              <w:t>Hourly Rate incl. benefits</w:t>
            </w:r>
          </w:p>
          <w:p w:rsidR="709F5254" w:rsidRPr="00BA0154" w:rsidP="709F5254" w14:paraId="23F68045" w14:textId="06157B83">
            <w:pPr>
              <w:jc w:val="center"/>
              <w:rPr>
                <w:rFonts w:ascii="Arial" w:hAnsi="Arial" w:cs="Arial"/>
                <w:sz w:val="22"/>
                <w:szCs w:val="22"/>
              </w:rPr>
            </w:pPr>
            <w:r w:rsidRPr="00BA0154">
              <w:rPr>
                <w:rFonts w:ascii="Arial" w:hAnsi="Arial" w:cs="Arial"/>
                <w:b/>
                <w:sz w:val="22"/>
                <w:szCs w:val="22"/>
              </w:rPr>
              <w:t>(1.5 x hourly pay rate)</w:t>
            </w:r>
          </w:p>
        </w:tc>
        <w:tc>
          <w:tcPr>
            <w:tcW w:w="153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vAlign w:val="center"/>
          </w:tcPr>
          <w:p w:rsidR="709F5254" w:rsidRPr="00BA0154" w:rsidP="709F5254" w14:paraId="2AB42813" w14:textId="04EA9484">
            <w:pPr>
              <w:jc w:val="center"/>
              <w:rPr>
                <w:rFonts w:ascii="Arial" w:hAnsi="Arial" w:cs="Arial"/>
                <w:sz w:val="22"/>
                <w:szCs w:val="22"/>
              </w:rPr>
            </w:pPr>
            <w:r w:rsidRPr="00BA0154">
              <w:rPr>
                <w:rFonts w:ascii="Arial" w:hAnsi="Arial" w:cs="Arial"/>
                <w:b/>
                <w:sz w:val="22"/>
                <w:szCs w:val="22"/>
              </w:rPr>
              <w:t>Estimated time spent by Federal Employees</w:t>
            </w:r>
          </w:p>
          <w:p w:rsidR="709F5254" w:rsidRPr="00BA0154" w:rsidP="709F5254" w14:paraId="2A42AC2A" w14:textId="29D2CF4F">
            <w:pPr>
              <w:jc w:val="center"/>
              <w:rPr>
                <w:rFonts w:ascii="Arial" w:hAnsi="Arial" w:cs="Arial"/>
                <w:sz w:val="22"/>
                <w:szCs w:val="22"/>
              </w:rPr>
            </w:pPr>
            <w:r w:rsidRPr="00BA0154">
              <w:rPr>
                <w:rFonts w:ascii="Arial" w:hAnsi="Arial" w:cs="Arial"/>
                <w:b/>
                <w:sz w:val="22"/>
                <w:szCs w:val="22"/>
              </w:rPr>
              <w:t>(hours)</w:t>
            </w:r>
          </w:p>
        </w:tc>
        <w:tc>
          <w:tcPr>
            <w:tcW w:w="180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vAlign w:val="center"/>
          </w:tcPr>
          <w:p w:rsidR="709F5254" w:rsidRPr="00BA0154" w:rsidP="709F5254" w14:paraId="069C9F69" w14:textId="01D41060">
            <w:pPr>
              <w:jc w:val="center"/>
              <w:rPr>
                <w:rFonts w:ascii="Arial" w:hAnsi="Arial" w:cs="Arial"/>
                <w:sz w:val="22"/>
                <w:szCs w:val="22"/>
              </w:rPr>
            </w:pPr>
            <w:r w:rsidRPr="00BA0154">
              <w:rPr>
                <w:rFonts w:ascii="Arial" w:hAnsi="Arial" w:cs="Arial"/>
                <w:b/>
                <w:sz w:val="22"/>
                <w:szCs w:val="22"/>
                <w:lang w:val="en-CA"/>
              </w:rPr>
              <w:t>Cost per federal staff  (Hourly Pay Rate incl. Benefits x Number of Hours)</w:t>
            </w:r>
          </w:p>
        </w:tc>
      </w:tr>
      <w:tr w14:paraId="224ECB6F" w14:textId="77777777" w:rsidTr="00A3107E">
        <w:tblPrEx>
          <w:tblW w:w="0" w:type="auto"/>
          <w:tblInd w:w="195" w:type="dxa"/>
          <w:tblLook w:val="0000"/>
        </w:tblPrEx>
        <w:trPr>
          <w:gridAfter w:val="1"/>
          <w:wAfter w:w="71" w:type="dxa"/>
          <w:trHeight w:val="540"/>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0B7CF3F9" w14:textId="1423D16C">
            <w:pPr>
              <w:widowControl/>
              <w:rPr>
                <w:rFonts w:ascii="Arial" w:hAnsi="Arial" w:cs="Arial"/>
                <w:sz w:val="22"/>
                <w:szCs w:val="22"/>
              </w:rPr>
            </w:pPr>
            <w:r w:rsidRPr="00BA0154">
              <w:rPr>
                <w:rFonts w:ascii="Arial" w:hAnsi="Arial" w:cs="Arial"/>
                <w:sz w:val="22"/>
                <w:szCs w:val="22"/>
              </w:rPr>
              <w:t>Program Coordinator</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160AEC24" w14:textId="0A4AA1E8">
            <w:pPr>
              <w:widowControl/>
              <w:jc w:val="center"/>
              <w:rPr>
                <w:rFonts w:ascii="Arial" w:hAnsi="Arial" w:cs="Arial"/>
                <w:sz w:val="22"/>
                <w:szCs w:val="22"/>
              </w:rPr>
            </w:pPr>
            <w:r w:rsidRPr="00BA0154">
              <w:rPr>
                <w:rFonts w:ascii="Arial" w:hAnsi="Arial" w:cs="Arial"/>
                <w:sz w:val="22"/>
                <w:szCs w:val="22"/>
              </w:rPr>
              <w:t>GS-1</w:t>
            </w:r>
            <w:r w:rsidRPr="00BA0154" w:rsidR="48E357AA">
              <w:rPr>
                <w:rFonts w:ascii="Arial" w:hAnsi="Arial" w:cs="Arial"/>
                <w:sz w:val="22"/>
                <w:szCs w:val="22"/>
              </w:rPr>
              <w:t>4</w:t>
            </w:r>
            <w:r w:rsidRPr="00BA0154">
              <w:rPr>
                <w:rFonts w:ascii="Arial" w:hAnsi="Arial" w:cs="Arial"/>
                <w:sz w:val="22"/>
                <w:szCs w:val="22"/>
              </w:rPr>
              <w:t>/</w:t>
            </w:r>
            <w:r w:rsidRPr="00BA0154" w:rsidR="0902CA66">
              <w:rPr>
                <w:rFonts w:ascii="Arial" w:hAnsi="Arial" w:cs="Arial"/>
                <w:sz w:val="22"/>
                <w:szCs w:val="22"/>
              </w:rPr>
              <w:t>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485471A7" w14:textId="36DDE85B">
            <w:pPr>
              <w:widowControl/>
              <w:spacing w:line="259" w:lineRule="auto"/>
              <w:jc w:val="center"/>
              <w:rPr>
                <w:rFonts w:ascii="Arial" w:hAnsi="Arial" w:cs="Arial"/>
                <w:sz w:val="22"/>
                <w:szCs w:val="22"/>
              </w:rPr>
            </w:pPr>
            <w:r w:rsidRPr="00BA0154">
              <w:rPr>
                <w:rFonts w:ascii="Arial" w:hAnsi="Arial" w:cs="Arial"/>
                <w:sz w:val="22"/>
                <w:szCs w:val="22"/>
              </w:rPr>
              <w:t>$</w:t>
            </w:r>
            <w:r w:rsidRPr="00BA0154" w:rsidR="0DB35751">
              <w:rPr>
                <w:rFonts w:ascii="Arial" w:hAnsi="Arial" w:cs="Arial"/>
                <w:sz w:val="22"/>
                <w:szCs w:val="22"/>
              </w:rPr>
              <w:t>92.2</w:t>
            </w:r>
            <w:r w:rsidRPr="00BA0154" w:rsidR="7CE9BF02">
              <w:rPr>
                <w:rFonts w:ascii="Arial" w:hAnsi="Arial" w:cs="Arial"/>
                <w:sz w:val="22"/>
                <w:szCs w:val="22"/>
              </w:rPr>
              <w:t>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0BDBE497" w14:textId="261D43DF">
            <w:pPr>
              <w:widowControl/>
              <w:jc w:val="center"/>
              <w:rPr>
                <w:rFonts w:ascii="Arial" w:hAnsi="Arial" w:cs="Arial"/>
                <w:sz w:val="22"/>
                <w:szCs w:val="22"/>
              </w:rPr>
            </w:pPr>
            <w:r w:rsidRPr="00BA0154">
              <w:rPr>
                <w:rFonts w:ascii="Arial" w:hAnsi="Arial" w:cs="Arial"/>
                <w:sz w:val="22"/>
                <w:szCs w:val="22"/>
              </w:rPr>
              <w:t>$1</w:t>
            </w:r>
            <w:r w:rsidRPr="00BA0154" w:rsidR="0EB12F8D">
              <w:rPr>
                <w:rFonts w:ascii="Arial" w:hAnsi="Arial" w:cs="Arial"/>
                <w:sz w:val="22"/>
                <w:szCs w:val="22"/>
              </w:rPr>
              <w:t>38.36</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65EC64EC" w14:textId="1134417C">
            <w:pPr>
              <w:widowControl/>
              <w:jc w:val="center"/>
              <w:rPr>
                <w:rFonts w:ascii="Arial" w:hAnsi="Arial" w:cs="Arial"/>
                <w:sz w:val="22"/>
                <w:szCs w:val="22"/>
              </w:rPr>
            </w:pPr>
            <w:r w:rsidRPr="00BA0154">
              <w:rPr>
                <w:rFonts w:ascii="Arial" w:hAnsi="Arial" w:cs="Arial"/>
                <w:sz w:val="22"/>
                <w:szCs w:val="22"/>
              </w:rPr>
              <w:t>200</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7CC76C95" w14:textId="1C58D448">
            <w:pPr>
              <w:widowControl/>
              <w:jc w:val="center"/>
              <w:rPr>
                <w:rFonts w:ascii="Arial" w:hAnsi="Arial" w:cs="Arial"/>
                <w:sz w:val="22"/>
                <w:szCs w:val="22"/>
              </w:rPr>
            </w:pPr>
            <w:r w:rsidRPr="00BA0154">
              <w:rPr>
                <w:rFonts w:ascii="Arial" w:hAnsi="Arial" w:cs="Arial"/>
                <w:sz w:val="22"/>
                <w:szCs w:val="22"/>
              </w:rPr>
              <w:t>$2</w:t>
            </w:r>
            <w:r w:rsidRPr="00BA0154" w:rsidR="38E82BE4">
              <w:rPr>
                <w:rFonts w:ascii="Arial" w:hAnsi="Arial" w:cs="Arial"/>
                <w:sz w:val="22"/>
                <w:szCs w:val="22"/>
              </w:rPr>
              <w:t>7,672</w:t>
            </w:r>
          </w:p>
        </w:tc>
      </w:tr>
      <w:tr w14:paraId="4EFE85CD" w14:textId="77777777" w:rsidTr="709F5254">
        <w:tblPrEx>
          <w:tblW w:w="0" w:type="auto"/>
          <w:tblInd w:w="195" w:type="dxa"/>
          <w:tblLook w:val="0000"/>
        </w:tblPrEx>
        <w:trPr>
          <w:gridAfter w:val="1"/>
          <w:wAfter w:w="71" w:type="dxa"/>
          <w:trHeight w:val="555"/>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1B7E7B63" w14:textId="2F241C3B">
            <w:pPr>
              <w:widowControl/>
              <w:rPr>
                <w:rFonts w:ascii="Arial" w:hAnsi="Arial" w:cs="Arial"/>
                <w:sz w:val="22"/>
                <w:szCs w:val="22"/>
              </w:rPr>
            </w:pPr>
            <w:r w:rsidRPr="00BA0154">
              <w:rPr>
                <w:rFonts w:ascii="Arial" w:hAnsi="Arial" w:cs="Arial"/>
                <w:sz w:val="22"/>
                <w:szCs w:val="22"/>
              </w:rPr>
              <w:t>Grants Program Officer</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3A4A034A" w14:textId="2A64139E">
            <w:pPr>
              <w:widowControl/>
              <w:jc w:val="center"/>
              <w:rPr>
                <w:rFonts w:ascii="Arial" w:hAnsi="Arial" w:cs="Arial"/>
                <w:sz w:val="22"/>
                <w:szCs w:val="22"/>
              </w:rPr>
            </w:pPr>
            <w:r w:rsidRPr="00BA0154">
              <w:rPr>
                <w:rFonts w:ascii="Arial" w:hAnsi="Arial" w:cs="Arial"/>
                <w:sz w:val="22"/>
                <w:szCs w:val="22"/>
              </w:rPr>
              <w:t>GS-13/5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67F4EDBF" w14:textId="79CAC8E3">
            <w:pPr>
              <w:widowControl/>
              <w:jc w:val="center"/>
              <w:rPr>
                <w:rFonts w:ascii="Arial" w:hAnsi="Arial" w:cs="Arial"/>
                <w:sz w:val="22"/>
                <w:szCs w:val="22"/>
              </w:rPr>
            </w:pPr>
            <w:r w:rsidRPr="00BA0154">
              <w:rPr>
                <w:rFonts w:ascii="Arial" w:hAnsi="Arial" w:cs="Arial"/>
                <w:sz w:val="22"/>
                <w:szCs w:val="22"/>
              </w:rPr>
              <w:t>$</w:t>
            </w:r>
            <w:r w:rsidRPr="00BA0154" w:rsidR="09CFE2BA">
              <w:rPr>
                <w:rFonts w:ascii="Arial" w:hAnsi="Arial" w:cs="Arial"/>
                <w:sz w:val="22"/>
                <w:szCs w:val="22"/>
              </w:rPr>
              <w:t>66.34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2C9C2879" w14:textId="65BAC839">
            <w:pPr>
              <w:widowControl/>
              <w:jc w:val="center"/>
              <w:rPr>
                <w:rFonts w:ascii="Arial" w:hAnsi="Arial" w:cs="Arial"/>
                <w:sz w:val="22"/>
                <w:szCs w:val="22"/>
              </w:rPr>
            </w:pPr>
            <w:r w:rsidRPr="00BA0154">
              <w:rPr>
                <w:rFonts w:ascii="Arial" w:hAnsi="Arial" w:cs="Arial"/>
                <w:sz w:val="22"/>
                <w:szCs w:val="22"/>
              </w:rPr>
              <w:t>$</w:t>
            </w:r>
            <w:r w:rsidRPr="00BA0154" w:rsidR="5583E150">
              <w:rPr>
                <w:rFonts w:ascii="Arial" w:hAnsi="Arial" w:cs="Arial"/>
                <w:sz w:val="22"/>
                <w:szCs w:val="22"/>
              </w:rPr>
              <w:t>95.01</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00744419" w14:textId="36A1C930">
            <w:pPr>
              <w:widowControl/>
              <w:jc w:val="center"/>
              <w:rPr>
                <w:rFonts w:ascii="Arial" w:hAnsi="Arial" w:cs="Arial"/>
                <w:sz w:val="22"/>
                <w:szCs w:val="22"/>
              </w:rPr>
            </w:pPr>
            <w:r w:rsidRPr="00BA0154">
              <w:rPr>
                <w:rFonts w:ascii="Arial" w:hAnsi="Arial" w:cs="Arial"/>
                <w:sz w:val="22"/>
                <w:szCs w:val="22"/>
              </w:rPr>
              <w:t>40</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1AC983A6" w14:textId="04685010">
            <w:pPr>
              <w:widowControl/>
              <w:spacing w:line="259" w:lineRule="auto"/>
              <w:jc w:val="center"/>
              <w:rPr>
                <w:rFonts w:ascii="Arial" w:hAnsi="Arial" w:cs="Arial"/>
                <w:sz w:val="22"/>
                <w:szCs w:val="22"/>
              </w:rPr>
            </w:pPr>
            <w:r w:rsidRPr="00BA0154">
              <w:rPr>
                <w:rFonts w:ascii="Arial" w:hAnsi="Arial" w:cs="Arial"/>
                <w:sz w:val="22"/>
                <w:szCs w:val="22"/>
              </w:rPr>
              <w:t>$</w:t>
            </w:r>
            <w:r w:rsidRPr="00BA0154" w:rsidR="252FE269">
              <w:rPr>
                <w:rFonts w:ascii="Arial" w:hAnsi="Arial" w:cs="Arial"/>
                <w:sz w:val="22"/>
                <w:szCs w:val="22"/>
              </w:rPr>
              <w:t>3,</w:t>
            </w:r>
            <w:r w:rsidRPr="00BA0154" w:rsidR="2ACCED39">
              <w:rPr>
                <w:rFonts w:ascii="Arial" w:hAnsi="Arial" w:cs="Arial"/>
                <w:sz w:val="22"/>
                <w:szCs w:val="22"/>
              </w:rPr>
              <w:t>980</w:t>
            </w:r>
          </w:p>
        </w:tc>
      </w:tr>
      <w:tr w14:paraId="3D2E271B" w14:textId="77777777" w:rsidTr="709F5254">
        <w:tblPrEx>
          <w:tblW w:w="0" w:type="auto"/>
          <w:tblInd w:w="195" w:type="dxa"/>
          <w:tblLook w:val="0000"/>
        </w:tblPrEx>
        <w:trPr>
          <w:gridAfter w:val="1"/>
          <w:wAfter w:w="71" w:type="dxa"/>
          <w:trHeight w:val="495"/>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2397E886" w14:textId="33D7D31F">
            <w:pPr>
              <w:widowControl/>
              <w:rPr>
                <w:rFonts w:ascii="Arial" w:hAnsi="Arial" w:cs="Arial"/>
                <w:sz w:val="22"/>
                <w:szCs w:val="22"/>
              </w:rPr>
            </w:pPr>
            <w:r w:rsidRPr="00BA0154">
              <w:rPr>
                <w:rFonts w:ascii="Arial" w:hAnsi="Arial" w:cs="Arial"/>
                <w:sz w:val="22"/>
                <w:szCs w:val="22"/>
              </w:rPr>
              <w:t>Financial Specialist</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58B50473" w14:textId="50EC995C">
            <w:pPr>
              <w:widowControl/>
              <w:jc w:val="center"/>
              <w:rPr>
                <w:rFonts w:ascii="Arial" w:hAnsi="Arial" w:cs="Arial"/>
                <w:sz w:val="22"/>
                <w:szCs w:val="22"/>
              </w:rPr>
            </w:pPr>
            <w:r w:rsidRPr="00BA0154">
              <w:rPr>
                <w:rFonts w:ascii="Arial" w:hAnsi="Arial" w:cs="Arial"/>
                <w:sz w:val="22"/>
                <w:szCs w:val="22"/>
              </w:rPr>
              <w:t>GS-12/5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1BFCDA71" w14:textId="40FC02EC">
            <w:pPr>
              <w:widowControl/>
              <w:jc w:val="center"/>
              <w:rPr>
                <w:rFonts w:ascii="Arial" w:hAnsi="Arial" w:cs="Arial"/>
                <w:sz w:val="22"/>
                <w:szCs w:val="22"/>
              </w:rPr>
            </w:pPr>
            <w:r w:rsidRPr="00BA0154">
              <w:rPr>
                <w:rFonts w:ascii="Arial" w:hAnsi="Arial" w:cs="Arial"/>
                <w:sz w:val="22"/>
                <w:szCs w:val="22"/>
              </w:rPr>
              <w:t>$</w:t>
            </w:r>
            <w:r w:rsidRPr="00BA0154" w:rsidR="4F035A48">
              <w:rPr>
                <w:rFonts w:ascii="Arial" w:hAnsi="Arial" w:cs="Arial"/>
                <w:sz w:val="22"/>
                <w:szCs w:val="22"/>
              </w:rPr>
              <w:t>55.80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6146C28C" w14:textId="438C836F">
            <w:pPr>
              <w:widowControl/>
              <w:jc w:val="center"/>
              <w:rPr>
                <w:rFonts w:ascii="Arial" w:hAnsi="Arial" w:cs="Arial"/>
                <w:sz w:val="22"/>
                <w:szCs w:val="22"/>
              </w:rPr>
            </w:pPr>
            <w:r w:rsidRPr="00BA0154">
              <w:rPr>
                <w:rFonts w:ascii="Arial" w:hAnsi="Arial" w:cs="Arial"/>
                <w:sz w:val="22"/>
                <w:szCs w:val="22"/>
              </w:rPr>
              <w:t>$</w:t>
            </w:r>
            <w:r w:rsidRPr="00BA0154" w:rsidR="173E4675">
              <w:rPr>
                <w:rFonts w:ascii="Arial" w:hAnsi="Arial" w:cs="Arial"/>
                <w:sz w:val="22"/>
                <w:szCs w:val="22"/>
              </w:rPr>
              <w:t>83.70</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2769F675" w14:textId="4368269F">
            <w:pPr>
              <w:widowControl/>
              <w:jc w:val="center"/>
              <w:rPr>
                <w:rFonts w:ascii="Arial" w:hAnsi="Arial" w:cs="Arial"/>
                <w:sz w:val="22"/>
                <w:szCs w:val="22"/>
              </w:rPr>
            </w:pPr>
            <w:r w:rsidRPr="00BA0154">
              <w:rPr>
                <w:rFonts w:ascii="Arial" w:hAnsi="Arial" w:cs="Arial"/>
                <w:sz w:val="22"/>
                <w:szCs w:val="22"/>
              </w:rPr>
              <w:t>240</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452BB0E3" w14:textId="286EB383">
            <w:pPr>
              <w:widowControl/>
              <w:jc w:val="center"/>
              <w:rPr>
                <w:rFonts w:ascii="Arial" w:hAnsi="Arial" w:cs="Arial"/>
                <w:sz w:val="22"/>
                <w:szCs w:val="22"/>
              </w:rPr>
            </w:pPr>
            <w:r w:rsidRPr="00BA0154">
              <w:rPr>
                <w:rFonts w:ascii="Arial" w:hAnsi="Arial" w:cs="Arial"/>
                <w:sz w:val="22"/>
                <w:szCs w:val="22"/>
              </w:rPr>
              <w:t>$</w:t>
            </w:r>
            <w:r w:rsidRPr="00BA0154" w:rsidR="4B140516">
              <w:rPr>
                <w:rFonts w:ascii="Arial" w:hAnsi="Arial" w:cs="Arial"/>
                <w:sz w:val="22"/>
                <w:szCs w:val="22"/>
              </w:rPr>
              <w:t>20,088</w:t>
            </w:r>
          </w:p>
        </w:tc>
      </w:tr>
      <w:tr w14:paraId="456B8DB3" w14:textId="77777777" w:rsidTr="6F170215">
        <w:tblPrEx>
          <w:tblW w:w="0" w:type="auto"/>
          <w:tblInd w:w="195" w:type="dxa"/>
          <w:tblLook w:val="0000"/>
        </w:tblPrEx>
        <w:trPr>
          <w:trHeight w:val="495"/>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6F170215" w:rsidRPr="00BA0154" w:rsidP="6F170215" w14:paraId="27FB1496" w14:textId="40CB9FAD">
            <w:pPr>
              <w:rPr>
                <w:rFonts w:ascii="Arial" w:hAnsi="Arial" w:cs="Arial"/>
                <w:sz w:val="22"/>
                <w:szCs w:val="22"/>
              </w:rPr>
            </w:pPr>
            <w:r w:rsidRPr="00BA0154">
              <w:rPr>
                <w:rFonts w:ascii="Arial" w:hAnsi="Arial" w:cs="Arial"/>
                <w:sz w:val="22"/>
                <w:szCs w:val="22"/>
              </w:rPr>
              <w:t>Information Technology Support</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6F170215" w:rsidRPr="00BA0154" w:rsidP="6F170215" w14:paraId="5B51CEDF" w14:textId="76D7E1C4">
            <w:pPr>
              <w:jc w:val="center"/>
              <w:rPr>
                <w:rFonts w:ascii="Arial" w:hAnsi="Arial" w:cs="Arial"/>
                <w:sz w:val="22"/>
                <w:szCs w:val="22"/>
              </w:rPr>
            </w:pPr>
            <w:r w:rsidRPr="00BA0154">
              <w:rPr>
                <w:rFonts w:ascii="Arial" w:hAnsi="Arial" w:cs="Arial"/>
                <w:sz w:val="22"/>
                <w:szCs w:val="22"/>
              </w:rPr>
              <w:t>GS-12/5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516C98C" w:rsidRPr="00BA0154" w:rsidP="6F170215" w14:paraId="50139478" w14:textId="637F6FCF">
            <w:pPr>
              <w:widowControl/>
              <w:jc w:val="center"/>
              <w:rPr>
                <w:rFonts w:ascii="Arial" w:hAnsi="Arial" w:cs="Arial"/>
                <w:sz w:val="22"/>
                <w:szCs w:val="22"/>
              </w:rPr>
            </w:pPr>
            <w:r w:rsidRPr="00BA0154">
              <w:rPr>
                <w:rFonts w:ascii="Arial" w:hAnsi="Arial" w:cs="Arial"/>
                <w:sz w:val="22"/>
                <w:szCs w:val="22"/>
              </w:rPr>
              <w:t>$55.80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69F4924" w:rsidRPr="00BA0154" w:rsidP="6F170215" w14:paraId="3EDA4197" w14:textId="24F932A5">
            <w:pPr>
              <w:widowControl/>
              <w:jc w:val="center"/>
              <w:rPr>
                <w:rFonts w:ascii="Arial" w:hAnsi="Arial" w:cs="Arial"/>
                <w:sz w:val="22"/>
                <w:szCs w:val="22"/>
              </w:rPr>
            </w:pPr>
            <w:r w:rsidRPr="00BA0154">
              <w:rPr>
                <w:rFonts w:ascii="Arial" w:hAnsi="Arial" w:cs="Arial"/>
                <w:sz w:val="22"/>
                <w:szCs w:val="22"/>
              </w:rPr>
              <w:t>$83.70</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B0C39C4" w:rsidRPr="00BA0154" w:rsidP="6F170215" w14:paraId="6DE56350" w14:textId="16F139A7">
            <w:pPr>
              <w:jc w:val="center"/>
              <w:rPr>
                <w:rFonts w:ascii="Arial" w:hAnsi="Arial" w:cs="Arial"/>
                <w:sz w:val="22"/>
                <w:szCs w:val="22"/>
              </w:rPr>
            </w:pPr>
            <w:r w:rsidRPr="00BA0154">
              <w:rPr>
                <w:rFonts w:ascii="Arial" w:hAnsi="Arial" w:cs="Arial"/>
                <w:sz w:val="22"/>
                <w:szCs w:val="22"/>
              </w:rPr>
              <w:t>800</w:t>
            </w:r>
          </w:p>
        </w:tc>
        <w:tc>
          <w:tcPr>
            <w:tcW w:w="18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DD604B5" w:rsidRPr="00BA0154" w:rsidP="6F170215" w14:paraId="42D9D185" w14:textId="5B61E26C">
            <w:pPr>
              <w:jc w:val="center"/>
              <w:rPr>
                <w:rFonts w:ascii="Arial" w:hAnsi="Arial" w:cs="Arial"/>
                <w:sz w:val="22"/>
                <w:szCs w:val="22"/>
              </w:rPr>
            </w:pPr>
            <w:r w:rsidRPr="00BA0154">
              <w:rPr>
                <w:rFonts w:ascii="Arial" w:hAnsi="Arial" w:cs="Arial"/>
                <w:sz w:val="22"/>
                <w:szCs w:val="22"/>
              </w:rPr>
              <w:t>$66,960</w:t>
            </w:r>
          </w:p>
        </w:tc>
      </w:tr>
      <w:tr w14:paraId="7E13DE19" w14:textId="77777777" w:rsidTr="6F170215">
        <w:tblPrEx>
          <w:tblW w:w="0" w:type="auto"/>
          <w:tblInd w:w="195" w:type="dxa"/>
          <w:tblLook w:val="0000"/>
        </w:tblPrEx>
        <w:trPr>
          <w:trHeight w:val="495"/>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6F170215" w:rsidRPr="00BA0154" w:rsidP="6F170215" w14:paraId="06CE346F" w14:textId="0754884F">
            <w:pPr>
              <w:rPr>
                <w:rFonts w:ascii="Arial" w:hAnsi="Arial" w:cs="Arial"/>
                <w:sz w:val="22"/>
                <w:szCs w:val="22"/>
              </w:rPr>
            </w:pPr>
            <w:r w:rsidRPr="00BA0154">
              <w:rPr>
                <w:rFonts w:ascii="Arial" w:hAnsi="Arial" w:cs="Arial"/>
                <w:sz w:val="22"/>
                <w:szCs w:val="22"/>
              </w:rPr>
              <w:t>Peer Review Panelist #1</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6F170215" w:rsidRPr="00BA0154" w:rsidP="6F170215" w14:paraId="7CE4E759" w14:textId="6DC69E1B">
            <w:pPr>
              <w:jc w:val="center"/>
              <w:rPr>
                <w:rFonts w:ascii="Arial" w:hAnsi="Arial" w:cs="Arial"/>
                <w:sz w:val="22"/>
                <w:szCs w:val="22"/>
              </w:rPr>
            </w:pPr>
            <w:r w:rsidRPr="00BA0154">
              <w:rPr>
                <w:rFonts w:ascii="Arial" w:hAnsi="Arial" w:cs="Arial"/>
                <w:sz w:val="22"/>
                <w:szCs w:val="22"/>
              </w:rPr>
              <w:t>GS-13/5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19969A0" w:rsidRPr="00BA0154" w:rsidP="6F170215" w14:paraId="5D7CD274" w14:textId="42173B24">
            <w:pPr>
              <w:widowControl/>
              <w:jc w:val="center"/>
              <w:rPr>
                <w:rFonts w:ascii="Arial" w:hAnsi="Arial" w:cs="Arial"/>
                <w:sz w:val="22"/>
                <w:szCs w:val="22"/>
              </w:rPr>
            </w:pPr>
            <w:r w:rsidRPr="00BA0154">
              <w:rPr>
                <w:rFonts w:ascii="Arial" w:hAnsi="Arial" w:cs="Arial"/>
                <w:sz w:val="22"/>
                <w:szCs w:val="22"/>
              </w:rPr>
              <w:t>$66.34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488D3B2E" w:rsidRPr="00BA0154" w:rsidP="6F170215" w14:paraId="0E189491" w14:textId="1526F722">
            <w:pPr>
              <w:widowControl/>
              <w:jc w:val="center"/>
              <w:rPr>
                <w:rFonts w:ascii="Arial" w:hAnsi="Arial" w:cs="Arial"/>
                <w:sz w:val="22"/>
                <w:szCs w:val="22"/>
              </w:rPr>
            </w:pPr>
            <w:r w:rsidRPr="00BA0154">
              <w:rPr>
                <w:rFonts w:ascii="Arial" w:hAnsi="Arial" w:cs="Arial"/>
                <w:sz w:val="22"/>
                <w:szCs w:val="22"/>
              </w:rPr>
              <w:t>$</w:t>
            </w:r>
            <w:r w:rsidRPr="00BA0154" w:rsidR="0B6422D3">
              <w:rPr>
                <w:rFonts w:ascii="Arial" w:hAnsi="Arial" w:cs="Arial"/>
                <w:sz w:val="22"/>
                <w:szCs w:val="22"/>
              </w:rPr>
              <w:t>95.01</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319B5E5" w:rsidRPr="00BA0154" w:rsidP="6F170215" w14:paraId="0FD6CE93" w14:textId="0B4D4470">
            <w:pPr>
              <w:jc w:val="center"/>
              <w:rPr>
                <w:rFonts w:ascii="Arial" w:hAnsi="Arial" w:cs="Arial"/>
                <w:sz w:val="22"/>
                <w:szCs w:val="22"/>
              </w:rPr>
            </w:pPr>
            <w:r w:rsidRPr="00BA0154">
              <w:rPr>
                <w:rFonts w:ascii="Arial" w:hAnsi="Arial" w:cs="Arial"/>
                <w:sz w:val="22"/>
                <w:szCs w:val="22"/>
              </w:rPr>
              <w:t>10</w:t>
            </w:r>
          </w:p>
        </w:tc>
        <w:tc>
          <w:tcPr>
            <w:tcW w:w="18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1C6C971" w:rsidRPr="00BA0154" w:rsidP="6F170215" w14:paraId="530E8184" w14:textId="3D3564C1">
            <w:pPr>
              <w:jc w:val="center"/>
              <w:rPr>
                <w:rFonts w:ascii="Arial" w:hAnsi="Arial" w:cs="Arial"/>
                <w:sz w:val="22"/>
                <w:szCs w:val="22"/>
              </w:rPr>
            </w:pPr>
            <w:r w:rsidRPr="00BA0154">
              <w:rPr>
                <w:rFonts w:ascii="Arial" w:hAnsi="Arial" w:cs="Arial"/>
                <w:sz w:val="22"/>
                <w:szCs w:val="22"/>
              </w:rPr>
              <w:t>$950</w:t>
            </w:r>
          </w:p>
        </w:tc>
      </w:tr>
      <w:tr w14:paraId="08EF66D4" w14:textId="77777777" w:rsidTr="6F170215">
        <w:tblPrEx>
          <w:tblW w:w="0" w:type="auto"/>
          <w:tblInd w:w="195" w:type="dxa"/>
          <w:tblLook w:val="0000"/>
        </w:tblPrEx>
        <w:trPr>
          <w:trHeight w:val="495"/>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6F170215" w:rsidRPr="00BA0154" w:rsidP="6F170215" w14:paraId="19032854" w14:textId="101907D3">
            <w:pPr>
              <w:rPr>
                <w:rFonts w:ascii="Arial" w:hAnsi="Arial" w:cs="Arial"/>
                <w:sz w:val="22"/>
                <w:szCs w:val="22"/>
              </w:rPr>
            </w:pPr>
            <w:r w:rsidRPr="00BA0154">
              <w:rPr>
                <w:rFonts w:ascii="Arial" w:hAnsi="Arial" w:cs="Arial"/>
                <w:sz w:val="22"/>
                <w:szCs w:val="22"/>
              </w:rPr>
              <w:t>Peer Review Panelist #2</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6F170215" w:rsidRPr="00BA0154" w:rsidP="6F170215" w14:paraId="482DD149" w14:textId="06B3B2C5">
            <w:pPr>
              <w:jc w:val="center"/>
              <w:rPr>
                <w:rFonts w:ascii="Arial" w:hAnsi="Arial" w:cs="Arial"/>
                <w:sz w:val="22"/>
                <w:szCs w:val="22"/>
              </w:rPr>
            </w:pPr>
            <w:r w:rsidRPr="00BA0154">
              <w:rPr>
                <w:rFonts w:ascii="Arial" w:hAnsi="Arial" w:cs="Arial"/>
                <w:sz w:val="22"/>
                <w:szCs w:val="22"/>
              </w:rPr>
              <w:t>GS-13/5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17C10E6" w:rsidRPr="00BA0154" w:rsidP="6F170215" w14:paraId="04B86FC6" w14:textId="278AD802">
            <w:pPr>
              <w:widowControl/>
              <w:jc w:val="center"/>
              <w:rPr>
                <w:rFonts w:ascii="Arial" w:hAnsi="Arial" w:cs="Arial"/>
                <w:sz w:val="22"/>
                <w:szCs w:val="22"/>
              </w:rPr>
            </w:pPr>
            <w:r w:rsidRPr="00BA0154">
              <w:rPr>
                <w:rFonts w:ascii="Arial" w:hAnsi="Arial" w:cs="Arial"/>
                <w:sz w:val="22"/>
                <w:szCs w:val="22"/>
              </w:rPr>
              <w:t>$66.34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62135775" w:rsidRPr="00BA0154" w:rsidP="6F170215" w14:paraId="6FBFE198" w14:textId="7F1BBA78">
            <w:pPr>
              <w:widowControl/>
              <w:jc w:val="center"/>
              <w:rPr>
                <w:rFonts w:ascii="Arial" w:hAnsi="Arial" w:cs="Arial"/>
                <w:sz w:val="22"/>
                <w:szCs w:val="22"/>
              </w:rPr>
            </w:pPr>
            <w:r w:rsidRPr="00BA0154">
              <w:rPr>
                <w:rFonts w:ascii="Arial" w:hAnsi="Arial" w:cs="Arial"/>
                <w:sz w:val="22"/>
                <w:szCs w:val="22"/>
              </w:rPr>
              <w:t>$</w:t>
            </w:r>
            <w:r w:rsidRPr="00BA0154" w:rsidR="5A34DF0B">
              <w:rPr>
                <w:rFonts w:ascii="Arial" w:hAnsi="Arial" w:cs="Arial"/>
                <w:sz w:val="22"/>
                <w:szCs w:val="22"/>
              </w:rPr>
              <w:t>95.01</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105E1D7" w:rsidRPr="00BA0154" w:rsidP="6F170215" w14:paraId="7FCA02E2" w14:textId="5C9AE3F0">
            <w:pPr>
              <w:jc w:val="center"/>
              <w:rPr>
                <w:rFonts w:ascii="Arial" w:hAnsi="Arial" w:cs="Arial"/>
                <w:sz w:val="22"/>
                <w:szCs w:val="22"/>
              </w:rPr>
            </w:pPr>
            <w:r w:rsidRPr="00BA0154">
              <w:rPr>
                <w:rFonts w:ascii="Arial" w:hAnsi="Arial" w:cs="Arial"/>
                <w:sz w:val="22"/>
                <w:szCs w:val="22"/>
              </w:rPr>
              <w:t>10</w:t>
            </w:r>
          </w:p>
        </w:tc>
        <w:tc>
          <w:tcPr>
            <w:tcW w:w="18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2E2BCF80" w:rsidRPr="00BA0154" w:rsidP="6F170215" w14:paraId="2A240BD7" w14:textId="3422D37F">
            <w:pPr>
              <w:jc w:val="center"/>
              <w:rPr>
                <w:rFonts w:ascii="Arial" w:hAnsi="Arial" w:cs="Arial"/>
                <w:sz w:val="22"/>
                <w:szCs w:val="22"/>
              </w:rPr>
            </w:pPr>
            <w:r w:rsidRPr="00BA0154">
              <w:rPr>
                <w:rFonts w:ascii="Arial" w:hAnsi="Arial" w:cs="Arial"/>
                <w:sz w:val="22"/>
                <w:szCs w:val="22"/>
              </w:rPr>
              <w:t>$950</w:t>
            </w:r>
          </w:p>
        </w:tc>
      </w:tr>
      <w:tr w14:paraId="0D3857BF" w14:textId="77777777" w:rsidTr="709F5254">
        <w:tblPrEx>
          <w:tblW w:w="0" w:type="auto"/>
          <w:tblInd w:w="195" w:type="dxa"/>
          <w:tblLook w:val="0000"/>
        </w:tblPrEx>
        <w:trPr>
          <w:gridAfter w:val="1"/>
          <w:wAfter w:w="71" w:type="dxa"/>
          <w:trHeight w:val="345"/>
        </w:trPr>
        <w:tc>
          <w:tcPr>
            <w:tcW w:w="7200"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32F3F9AD" w14:textId="38C3DA0C">
            <w:pPr>
              <w:widowControl/>
              <w:rPr>
                <w:rFonts w:ascii="Arial" w:hAnsi="Arial" w:cs="Arial"/>
                <w:sz w:val="22"/>
                <w:szCs w:val="22"/>
              </w:rPr>
            </w:pPr>
            <w:r w:rsidRPr="00BA0154">
              <w:rPr>
                <w:rFonts w:ascii="Arial" w:hAnsi="Arial" w:cs="Arial"/>
                <w:b/>
                <w:sz w:val="22"/>
                <w:szCs w:val="22"/>
              </w:rPr>
              <w:t>TOTAL</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09F5254" w:rsidRPr="00BA0154" w:rsidP="709F5254" w14:paraId="53FB7A8E" w14:textId="2149AC44">
            <w:pPr>
              <w:widowControl/>
              <w:jc w:val="center"/>
              <w:rPr>
                <w:rFonts w:ascii="Arial" w:hAnsi="Arial" w:cs="Arial"/>
                <w:sz w:val="22"/>
                <w:szCs w:val="22"/>
              </w:rPr>
            </w:pPr>
            <w:r w:rsidRPr="00BA0154">
              <w:rPr>
                <w:rFonts w:ascii="Arial" w:hAnsi="Arial" w:cs="Arial"/>
                <w:b/>
                <w:sz w:val="22"/>
                <w:szCs w:val="22"/>
              </w:rPr>
              <w:t>$</w:t>
            </w:r>
            <w:r w:rsidRPr="00BA0154" w:rsidR="7A61B506">
              <w:rPr>
                <w:rFonts w:ascii="Arial" w:hAnsi="Arial" w:cs="Arial"/>
                <w:b/>
                <w:bCs/>
                <w:sz w:val="22"/>
                <w:szCs w:val="22"/>
              </w:rPr>
              <w:t>120,600</w:t>
            </w:r>
          </w:p>
        </w:tc>
      </w:tr>
    </w:tbl>
    <w:p w:rsidR="00FA14F6" w:rsidRPr="00BA0154" w:rsidP="709F5254" w14:paraId="44F6F14C" w14:textId="559CF93B">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A14F6" w:rsidRPr="00BA0154" w:rsidP="709F5254" w14:paraId="3AA25A53" w14:textId="3A7C4D32">
      <w:pPr>
        <w:spacing w:before="240" w:after="240"/>
        <w:rPr>
          <w:rFonts w:ascii="Arial" w:hAnsi="Arial" w:cs="Arial"/>
          <w:sz w:val="22"/>
          <w:szCs w:val="22"/>
        </w:rPr>
      </w:pPr>
      <w:r w:rsidRPr="00BA0154">
        <w:rPr>
          <w:rFonts w:ascii="Arial" w:hAnsi="Arial" w:cs="Arial"/>
          <w:color w:val="000000" w:themeColor="text1"/>
          <w:sz w:val="22"/>
          <w:szCs w:val="22"/>
        </w:rPr>
        <w:t>15. Explain the reasons for any program changes or adjustments in hour or cost burden.</w:t>
      </w:r>
    </w:p>
    <w:p w:rsidR="00FA14F6" w:rsidRPr="00BA0154" w:rsidP="709F5254" w14:paraId="608D8A3C" w14:textId="70511B17">
      <w:pPr>
        <w:spacing w:before="240" w:after="240"/>
        <w:rPr>
          <w:rFonts w:ascii="Arial" w:hAnsi="Arial" w:cs="Arial"/>
          <w:color w:val="000000" w:themeColor="text1"/>
          <w:sz w:val="22"/>
          <w:szCs w:val="22"/>
        </w:rPr>
      </w:pPr>
      <w:r w:rsidRPr="00BA0154">
        <w:rPr>
          <w:rFonts w:ascii="Arial" w:hAnsi="Arial" w:cs="Arial"/>
          <w:color w:val="000000" w:themeColor="text1"/>
          <w:sz w:val="22"/>
          <w:szCs w:val="22"/>
        </w:rPr>
        <w:t xml:space="preserve">There are no program changes.  Cost burden figured were updated using 2025 Bureau of Labor Statistics and federal costs were updated with 2026 pay tables for the DC metro area. </w:t>
      </w:r>
    </w:p>
    <w:p w:rsidR="00FA14F6" w:rsidRPr="00BA0154" w:rsidP="709F5254" w14:paraId="3461E606" w14:textId="63A5D03F">
      <w:pPr>
        <w:spacing w:before="240" w:after="240"/>
        <w:rPr>
          <w:rFonts w:ascii="Arial" w:hAnsi="Arial" w:cs="Arial"/>
          <w:b/>
          <w:bCs/>
          <w:sz w:val="22"/>
          <w:szCs w:val="22"/>
        </w:rPr>
      </w:pPr>
      <w:r w:rsidRPr="00BA0154">
        <w:rPr>
          <w:rFonts w:ascii="Arial" w:hAnsi="Arial" w:cs="Arial"/>
          <w:b/>
          <w:bCs/>
          <w:sz w:val="22"/>
          <w:szCs w:val="22"/>
        </w:rPr>
        <w:t>16.</w:t>
      </w:r>
      <w:r w:rsidRPr="00BA0154">
        <w:rPr>
          <w:rFonts w:ascii="Arial" w:hAnsi="Arial" w:cs="Arial"/>
          <w:sz w:val="22"/>
          <w:szCs w:val="22"/>
        </w:rPr>
        <w:tab/>
      </w:r>
      <w:r w:rsidRPr="00BA0154">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BA0154" w:rsidP="00FA14F6" w14:paraId="2AC2396A" w14:textId="77777777">
      <w:pPr>
        <w:tabs>
          <w:tab w:val="left" w:pos="-1080"/>
          <w:tab w:val="left" w:pos="-720"/>
          <w:tab w:val="left" w:pos="450"/>
          <w:tab w:val="left" w:pos="720"/>
        </w:tabs>
        <w:rPr>
          <w:rFonts w:ascii="Arial" w:hAnsi="Arial" w:cs="Arial"/>
          <w:sz w:val="22"/>
          <w:szCs w:val="22"/>
        </w:rPr>
      </w:pPr>
    </w:p>
    <w:p w:rsidR="13F380AB" w:rsidRPr="00BA0154" w:rsidP="709F5254" w14:paraId="6D1B42E6" w14:textId="4F0480F9">
      <w:pPr>
        <w:rPr>
          <w:rFonts w:ascii="Arial" w:hAnsi="Arial" w:cs="Arial"/>
          <w:sz w:val="22"/>
          <w:szCs w:val="22"/>
        </w:rPr>
      </w:pPr>
      <w:r w:rsidRPr="00BA0154">
        <w:rPr>
          <w:rFonts w:ascii="Arial" w:hAnsi="Arial" w:cs="Arial"/>
          <w:color w:val="000000" w:themeColor="text1"/>
          <w:sz w:val="22"/>
          <w:szCs w:val="22"/>
        </w:rPr>
        <w:t xml:space="preserve">The information collected will not be tabulated or published for statistical use; however, abstracts of all research projects and all final reports will be published annually on the USGS WRRA website. </w:t>
      </w:r>
      <w:r w:rsidRPr="00BA0154">
        <w:rPr>
          <w:rFonts w:ascii="Arial" w:eastAsia="Arial" w:hAnsi="Arial" w:cs="Arial"/>
          <w:sz w:val="22"/>
          <w:szCs w:val="22"/>
        </w:rPr>
        <w:t xml:space="preserve"> </w:t>
      </w:r>
    </w:p>
    <w:p w:rsidR="00FA14F6" w:rsidRPr="00BA0154" w:rsidP="00FA14F6" w14:paraId="52B8690C" w14:textId="77777777">
      <w:pPr>
        <w:tabs>
          <w:tab w:val="left" w:pos="-1080"/>
          <w:tab w:val="left" w:pos="-720"/>
          <w:tab w:val="left" w:pos="450"/>
          <w:tab w:val="left" w:pos="720"/>
        </w:tabs>
        <w:rPr>
          <w:rFonts w:ascii="Arial" w:hAnsi="Arial" w:cs="Arial"/>
          <w:sz w:val="22"/>
          <w:szCs w:val="22"/>
        </w:rPr>
      </w:pPr>
    </w:p>
    <w:p w:rsidR="00FA14F6" w:rsidRPr="00BA0154" w:rsidP="00FA14F6" w14:paraId="07A2D04C" w14:textId="77777777">
      <w:pPr>
        <w:tabs>
          <w:tab w:val="left" w:pos="-1080"/>
          <w:tab w:val="left" w:pos="-720"/>
          <w:tab w:val="left" w:pos="450"/>
          <w:tab w:val="left" w:pos="720"/>
        </w:tabs>
        <w:rPr>
          <w:rFonts w:ascii="Arial" w:hAnsi="Arial" w:cs="Arial"/>
          <w:b/>
          <w:sz w:val="22"/>
          <w:szCs w:val="22"/>
        </w:rPr>
      </w:pPr>
      <w:r w:rsidRPr="00BA0154">
        <w:rPr>
          <w:rFonts w:ascii="Arial" w:hAnsi="Arial" w:cs="Arial"/>
          <w:b/>
          <w:sz w:val="22"/>
          <w:szCs w:val="22"/>
        </w:rPr>
        <w:t>17.</w:t>
      </w:r>
      <w:r w:rsidRPr="00BA0154">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BA0154" w:rsidP="00FA14F6" w14:paraId="0C1DAC69" w14:textId="77777777">
      <w:pPr>
        <w:tabs>
          <w:tab w:val="left" w:pos="-1080"/>
          <w:tab w:val="left" w:pos="-720"/>
          <w:tab w:val="left" w:pos="450"/>
          <w:tab w:val="left" w:pos="720"/>
        </w:tabs>
        <w:rPr>
          <w:rFonts w:ascii="Arial" w:hAnsi="Arial" w:cs="Arial"/>
          <w:sz w:val="22"/>
          <w:szCs w:val="22"/>
        </w:rPr>
      </w:pPr>
    </w:p>
    <w:p w:rsidR="00FA14F6" w:rsidRPr="00BA0154" w:rsidP="709F5254" w14:paraId="6696ED6D" w14:textId="7EB53B90">
      <w:pPr>
        <w:tabs>
          <w:tab w:val="left" w:pos="450"/>
          <w:tab w:val="left" w:pos="720"/>
        </w:tabs>
        <w:rPr>
          <w:rFonts w:ascii="Arial" w:hAnsi="Arial" w:cs="Arial"/>
          <w:sz w:val="22"/>
          <w:szCs w:val="22"/>
        </w:rPr>
      </w:pPr>
      <w:r w:rsidRPr="00BA0154">
        <w:rPr>
          <w:rFonts w:ascii="Arial" w:hAnsi="Arial" w:cs="Arial"/>
          <w:sz w:val="22"/>
          <w:szCs w:val="22"/>
        </w:rPr>
        <w:t>We will display the OMB Control Number and expiration date on appropriate materials.</w:t>
      </w:r>
    </w:p>
    <w:p w:rsidR="00FA14F6" w:rsidRPr="00BA0154" w:rsidP="00FA14F6" w14:paraId="471F4CDB" w14:textId="77777777">
      <w:pPr>
        <w:tabs>
          <w:tab w:val="left" w:pos="-1080"/>
          <w:tab w:val="left" w:pos="-720"/>
          <w:tab w:val="left" w:pos="450"/>
          <w:tab w:val="left" w:pos="720"/>
        </w:tabs>
        <w:rPr>
          <w:rFonts w:ascii="Arial" w:hAnsi="Arial" w:cs="Arial"/>
          <w:sz w:val="22"/>
          <w:szCs w:val="22"/>
        </w:rPr>
      </w:pPr>
    </w:p>
    <w:p w:rsidR="00FA14F6" w:rsidRPr="00BA0154" w:rsidP="00FA14F6" w14:paraId="6147A1C0" w14:textId="77777777">
      <w:pPr>
        <w:tabs>
          <w:tab w:val="left" w:pos="-1080"/>
          <w:tab w:val="left" w:pos="-720"/>
          <w:tab w:val="left" w:pos="450"/>
          <w:tab w:val="left" w:pos="720"/>
        </w:tabs>
        <w:rPr>
          <w:rFonts w:ascii="Arial" w:hAnsi="Arial" w:cs="Arial"/>
          <w:b/>
          <w:sz w:val="22"/>
          <w:szCs w:val="22"/>
        </w:rPr>
      </w:pPr>
      <w:r w:rsidRPr="00BA0154">
        <w:rPr>
          <w:rFonts w:ascii="Arial" w:hAnsi="Arial" w:cs="Arial"/>
          <w:b/>
          <w:sz w:val="22"/>
          <w:szCs w:val="22"/>
        </w:rPr>
        <w:t>18.</w:t>
      </w:r>
      <w:r w:rsidRPr="00BA0154">
        <w:rPr>
          <w:rFonts w:ascii="Arial" w:hAnsi="Arial" w:cs="Arial"/>
          <w:b/>
          <w:sz w:val="22"/>
          <w:szCs w:val="22"/>
        </w:rPr>
        <w:tab/>
        <w:t>Explain each exception to the topics of the certification statement identified in "Certification for Paperwork Reduction Act Submissions."</w:t>
      </w:r>
    </w:p>
    <w:p w:rsidR="00FA14F6" w:rsidRPr="00BA0154" w:rsidP="00FA14F6" w14:paraId="141524FC" w14:textId="77777777">
      <w:pPr>
        <w:tabs>
          <w:tab w:val="left" w:pos="-1080"/>
          <w:tab w:val="left" w:pos="-720"/>
          <w:tab w:val="left" w:pos="450"/>
          <w:tab w:val="left" w:pos="720"/>
        </w:tabs>
        <w:rPr>
          <w:rFonts w:ascii="Arial" w:hAnsi="Arial" w:cs="Arial"/>
          <w:sz w:val="22"/>
          <w:szCs w:val="22"/>
        </w:rPr>
      </w:pPr>
    </w:p>
    <w:p w:rsidR="00251281" w:rsidRPr="00BA0154" w:rsidP="709F5254" w14:paraId="15A5F88A" w14:textId="71C9C7B4">
      <w:pPr>
        <w:tabs>
          <w:tab w:val="left" w:pos="450"/>
          <w:tab w:val="left" w:pos="720"/>
        </w:tabs>
        <w:rPr>
          <w:rFonts w:ascii="Arial" w:hAnsi="Arial" w:cs="Arial"/>
          <w:sz w:val="22"/>
          <w:szCs w:val="22"/>
        </w:rPr>
      </w:pPr>
      <w:r w:rsidRPr="00BA0154">
        <w:rPr>
          <w:rFonts w:ascii="Arial" w:hAnsi="Arial" w:cs="Arial"/>
          <w:sz w:val="22"/>
          <w:szCs w:val="22"/>
        </w:rPr>
        <w:t>There are no exceptions to the certification statement.</w:t>
      </w:r>
    </w:p>
    <w:sectPr w:rsidSect="00B100EF">
      <w:headerReference w:type="default" r:id="rId11"/>
      <w:footerReference w:type="default" r:id="rId12"/>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FAC" w14:paraId="73EADE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6F602"/>
    <w:multiLevelType w:val="hybridMultilevel"/>
    <w:tmpl w:val="3BE2B21E"/>
    <w:lvl w:ilvl="0">
      <w:start w:val="1"/>
      <w:numFmt w:val="decimal"/>
      <w:lvlText w:val="(%1)"/>
      <w:lvlJc w:val="left"/>
      <w:pPr>
        <w:ind w:left="1120" w:hanging="4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0479302">
    <w:abstractNumId w:val="0"/>
  </w:num>
  <w:num w:numId="2" w16cid:durableId="1701469542">
    <w:abstractNumId w:val="1"/>
  </w:num>
  <w:num w:numId="3" w16cid:durableId="17199508">
    <w:abstractNumId w:val="6"/>
  </w:num>
  <w:num w:numId="4" w16cid:durableId="1535381878">
    <w:abstractNumId w:val="3"/>
  </w:num>
  <w:num w:numId="5" w16cid:durableId="593442397">
    <w:abstractNumId w:val="2"/>
  </w:num>
  <w:num w:numId="6" w16cid:durableId="1832982726">
    <w:abstractNumId w:val="5"/>
  </w:num>
  <w:num w:numId="7" w16cid:durableId="178153389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20495"/>
    <w:rsid w:val="00023BFA"/>
    <w:rsid w:val="000257C8"/>
    <w:rsid w:val="00026233"/>
    <w:rsid w:val="000D3B13"/>
    <w:rsid w:val="000D4793"/>
    <w:rsid w:val="000F1C17"/>
    <w:rsid w:val="000F3AF1"/>
    <w:rsid w:val="000F67B2"/>
    <w:rsid w:val="0015130F"/>
    <w:rsid w:val="0015212B"/>
    <w:rsid w:val="00162B02"/>
    <w:rsid w:val="001922A3"/>
    <w:rsid w:val="001B0A2A"/>
    <w:rsid w:val="001B1B8A"/>
    <w:rsid w:val="002064C5"/>
    <w:rsid w:val="0022587E"/>
    <w:rsid w:val="00243F95"/>
    <w:rsid w:val="00244498"/>
    <w:rsid w:val="00246A07"/>
    <w:rsid w:val="00251281"/>
    <w:rsid w:val="00295103"/>
    <w:rsid w:val="002C325E"/>
    <w:rsid w:val="002D3783"/>
    <w:rsid w:val="00302AB3"/>
    <w:rsid w:val="00352210"/>
    <w:rsid w:val="00352540"/>
    <w:rsid w:val="00373A0A"/>
    <w:rsid w:val="0039403A"/>
    <w:rsid w:val="003B6D63"/>
    <w:rsid w:val="003C3292"/>
    <w:rsid w:val="003C4A8B"/>
    <w:rsid w:val="003C6527"/>
    <w:rsid w:val="003E1F5A"/>
    <w:rsid w:val="003E35A4"/>
    <w:rsid w:val="00400298"/>
    <w:rsid w:val="004436DE"/>
    <w:rsid w:val="0046007C"/>
    <w:rsid w:val="00464E17"/>
    <w:rsid w:val="004976CB"/>
    <w:rsid w:val="004A6DFA"/>
    <w:rsid w:val="004E676E"/>
    <w:rsid w:val="00507FAC"/>
    <w:rsid w:val="00525467"/>
    <w:rsid w:val="005912A2"/>
    <w:rsid w:val="005B0888"/>
    <w:rsid w:val="005B1A8E"/>
    <w:rsid w:val="005C4F3D"/>
    <w:rsid w:val="005C5732"/>
    <w:rsid w:val="005D39A7"/>
    <w:rsid w:val="005E0031"/>
    <w:rsid w:val="005E34CE"/>
    <w:rsid w:val="005F3A68"/>
    <w:rsid w:val="005F75AA"/>
    <w:rsid w:val="0060758B"/>
    <w:rsid w:val="00607F46"/>
    <w:rsid w:val="00660953"/>
    <w:rsid w:val="00664365"/>
    <w:rsid w:val="00677C4C"/>
    <w:rsid w:val="0068034C"/>
    <w:rsid w:val="006847C1"/>
    <w:rsid w:val="0068562A"/>
    <w:rsid w:val="006B022A"/>
    <w:rsid w:val="006B4C93"/>
    <w:rsid w:val="006C725A"/>
    <w:rsid w:val="006E339F"/>
    <w:rsid w:val="006F0204"/>
    <w:rsid w:val="00701C0C"/>
    <w:rsid w:val="00721858"/>
    <w:rsid w:val="00722873"/>
    <w:rsid w:val="00770293"/>
    <w:rsid w:val="00780489"/>
    <w:rsid w:val="007851E9"/>
    <w:rsid w:val="00792EA5"/>
    <w:rsid w:val="007B345F"/>
    <w:rsid w:val="007C7483"/>
    <w:rsid w:val="007D5E63"/>
    <w:rsid w:val="007D7209"/>
    <w:rsid w:val="007E21B5"/>
    <w:rsid w:val="0081259F"/>
    <w:rsid w:val="008155B3"/>
    <w:rsid w:val="00857481"/>
    <w:rsid w:val="00871E20"/>
    <w:rsid w:val="008805C0"/>
    <w:rsid w:val="00894A15"/>
    <w:rsid w:val="009305AE"/>
    <w:rsid w:val="00937884"/>
    <w:rsid w:val="00944C21"/>
    <w:rsid w:val="009A370C"/>
    <w:rsid w:val="009B359F"/>
    <w:rsid w:val="009E055F"/>
    <w:rsid w:val="00A3107E"/>
    <w:rsid w:val="00A34240"/>
    <w:rsid w:val="00A70D17"/>
    <w:rsid w:val="00A84E4C"/>
    <w:rsid w:val="00A94EF5"/>
    <w:rsid w:val="00AA0E02"/>
    <w:rsid w:val="00AA737C"/>
    <w:rsid w:val="00AE70B6"/>
    <w:rsid w:val="00B100EF"/>
    <w:rsid w:val="00B25512"/>
    <w:rsid w:val="00B50214"/>
    <w:rsid w:val="00B646B4"/>
    <w:rsid w:val="00BA0154"/>
    <w:rsid w:val="00BA310D"/>
    <w:rsid w:val="00BD0EC8"/>
    <w:rsid w:val="00BE110D"/>
    <w:rsid w:val="00BE28A7"/>
    <w:rsid w:val="00C041CD"/>
    <w:rsid w:val="00C15EB8"/>
    <w:rsid w:val="00C71C82"/>
    <w:rsid w:val="00CC7BDB"/>
    <w:rsid w:val="00D27676"/>
    <w:rsid w:val="00D80143"/>
    <w:rsid w:val="00D842B4"/>
    <w:rsid w:val="00D93CAC"/>
    <w:rsid w:val="00DA584B"/>
    <w:rsid w:val="00DC08E6"/>
    <w:rsid w:val="00DE1FFE"/>
    <w:rsid w:val="00DE7630"/>
    <w:rsid w:val="00DF354C"/>
    <w:rsid w:val="00E118CB"/>
    <w:rsid w:val="00E13F30"/>
    <w:rsid w:val="00E266D9"/>
    <w:rsid w:val="00E431B2"/>
    <w:rsid w:val="00E43F18"/>
    <w:rsid w:val="00E6013B"/>
    <w:rsid w:val="00E62CED"/>
    <w:rsid w:val="00E71923"/>
    <w:rsid w:val="00EC042C"/>
    <w:rsid w:val="00ED7656"/>
    <w:rsid w:val="00EF578E"/>
    <w:rsid w:val="00F373CA"/>
    <w:rsid w:val="00F73931"/>
    <w:rsid w:val="00F77372"/>
    <w:rsid w:val="00FA14F6"/>
    <w:rsid w:val="00FF147C"/>
    <w:rsid w:val="00FF1D53"/>
    <w:rsid w:val="017C10E6"/>
    <w:rsid w:val="019969A0"/>
    <w:rsid w:val="01C43963"/>
    <w:rsid w:val="02E00446"/>
    <w:rsid w:val="0319B5E5"/>
    <w:rsid w:val="0450E0B8"/>
    <w:rsid w:val="04E2D6F1"/>
    <w:rsid w:val="066B4180"/>
    <w:rsid w:val="06B05353"/>
    <w:rsid w:val="06B3DF08"/>
    <w:rsid w:val="0846D6E1"/>
    <w:rsid w:val="08C8E75B"/>
    <w:rsid w:val="0902CA66"/>
    <w:rsid w:val="09CFE2BA"/>
    <w:rsid w:val="0AC51CB7"/>
    <w:rsid w:val="0B6422D3"/>
    <w:rsid w:val="0B9904EA"/>
    <w:rsid w:val="0C59FAA3"/>
    <w:rsid w:val="0C833DD4"/>
    <w:rsid w:val="0D74FA07"/>
    <w:rsid w:val="0DB35751"/>
    <w:rsid w:val="0DC07B5A"/>
    <w:rsid w:val="0E58F82B"/>
    <w:rsid w:val="0EB12F8D"/>
    <w:rsid w:val="13250D53"/>
    <w:rsid w:val="1376BDCF"/>
    <w:rsid w:val="13F380AB"/>
    <w:rsid w:val="14045A18"/>
    <w:rsid w:val="14361060"/>
    <w:rsid w:val="148A3AD1"/>
    <w:rsid w:val="162E5938"/>
    <w:rsid w:val="166638A7"/>
    <w:rsid w:val="1667C8C3"/>
    <w:rsid w:val="173E4675"/>
    <w:rsid w:val="17999D05"/>
    <w:rsid w:val="1A98E520"/>
    <w:rsid w:val="1B42F35B"/>
    <w:rsid w:val="1DCFA687"/>
    <w:rsid w:val="1EA6095D"/>
    <w:rsid w:val="2061DBCB"/>
    <w:rsid w:val="210CABC7"/>
    <w:rsid w:val="21376E84"/>
    <w:rsid w:val="21A17603"/>
    <w:rsid w:val="21C35098"/>
    <w:rsid w:val="23305C59"/>
    <w:rsid w:val="252FE269"/>
    <w:rsid w:val="25EFBC29"/>
    <w:rsid w:val="27042717"/>
    <w:rsid w:val="276151A5"/>
    <w:rsid w:val="27CA43E3"/>
    <w:rsid w:val="27E92517"/>
    <w:rsid w:val="2AC2F53C"/>
    <w:rsid w:val="2AC9495C"/>
    <w:rsid w:val="2ACCED39"/>
    <w:rsid w:val="2B817173"/>
    <w:rsid w:val="2BAEEE40"/>
    <w:rsid w:val="2D75B89C"/>
    <w:rsid w:val="2E2BCF80"/>
    <w:rsid w:val="2E47CF44"/>
    <w:rsid w:val="3105E1D7"/>
    <w:rsid w:val="311CBD5A"/>
    <w:rsid w:val="315A1036"/>
    <w:rsid w:val="31B30B37"/>
    <w:rsid w:val="31C6C971"/>
    <w:rsid w:val="32706571"/>
    <w:rsid w:val="32ED6D8E"/>
    <w:rsid w:val="34161CF6"/>
    <w:rsid w:val="347D7637"/>
    <w:rsid w:val="3516C98C"/>
    <w:rsid w:val="353C81C0"/>
    <w:rsid w:val="35C94CD2"/>
    <w:rsid w:val="369F4924"/>
    <w:rsid w:val="372BCAF4"/>
    <w:rsid w:val="38E82BE4"/>
    <w:rsid w:val="3A96EBA3"/>
    <w:rsid w:val="3B0C39C4"/>
    <w:rsid w:val="3B2EB2AB"/>
    <w:rsid w:val="3C50BCD2"/>
    <w:rsid w:val="3C8D1F58"/>
    <w:rsid w:val="3DC56A7A"/>
    <w:rsid w:val="3DD604B5"/>
    <w:rsid w:val="3E0F9228"/>
    <w:rsid w:val="3F28EAFF"/>
    <w:rsid w:val="3F46FD36"/>
    <w:rsid w:val="4261544D"/>
    <w:rsid w:val="42CEA65C"/>
    <w:rsid w:val="432DF44C"/>
    <w:rsid w:val="44440266"/>
    <w:rsid w:val="44514237"/>
    <w:rsid w:val="44DB771D"/>
    <w:rsid w:val="4531CE45"/>
    <w:rsid w:val="45A23D99"/>
    <w:rsid w:val="4627D75D"/>
    <w:rsid w:val="462C2A7A"/>
    <w:rsid w:val="46B4819B"/>
    <w:rsid w:val="482DEE55"/>
    <w:rsid w:val="488D3B2E"/>
    <w:rsid w:val="48E357AA"/>
    <w:rsid w:val="48E475EF"/>
    <w:rsid w:val="4900F46B"/>
    <w:rsid w:val="4B140516"/>
    <w:rsid w:val="4DB434D3"/>
    <w:rsid w:val="4E788507"/>
    <w:rsid w:val="4F035A48"/>
    <w:rsid w:val="50233876"/>
    <w:rsid w:val="504A8C01"/>
    <w:rsid w:val="50F154F8"/>
    <w:rsid w:val="516416EC"/>
    <w:rsid w:val="54B36801"/>
    <w:rsid w:val="54F23BA0"/>
    <w:rsid w:val="5583E150"/>
    <w:rsid w:val="55C5B1CA"/>
    <w:rsid w:val="570B7C48"/>
    <w:rsid w:val="5713C202"/>
    <w:rsid w:val="592A2AB0"/>
    <w:rsid w:val="5A34DF0B"/>
    <w:rsid w:val="5C4BCA99"/>
    <w:rsid w:val="5E6D29E6"/>
    <w:rsid w:val="5FEAA22A"/>
    <w:rsid w:val="610EAD45"/>
    <w:rsid w:val="61C8C0C5"/>
    <w:rsid w:val="61F66E50"/>
    <w:rsid w:val="62135775"/>
    <w:rsid w:val="642BB90C"/>
    <w:rsid w:val="65B53D27"/>
    <w:rsid w:val="6607F095"/>
    <w:rsid w:val="67AB3D8A"/>
    <w:rsid w:val="67D57055"/>
    <w:rsid w:val="67DEB3EF"/>
    <w:rsid w:val="68B34EAC"/>
    <w:rsid w:val="6A8096E9"/>
    <w:rsid w:val="6F170215"/>
    <w:rsid w:val="6F8D68B3"/>
    <w:rsid w:val="70792484"/>
    <w:rsid w:val="709F5254"/>
    <w:rsid w:val="71D274D4"/>
    <w:rsid w:val="736C95D1"/>
    <w:rsid w:val="743F40E7"/>
    <w:rsid w:val="748A3AE2"/>
    <w:rsid w:val="77444F9A"/>
    <w:rsid w:val="778AB7D9"/>
    <w:rsid w:val="77F4E679"/>
    <w:rsid w:val="77FA01A5"/>
    <w:rsid w:val="7832C248"/>
    <w:rsid w:val="787F365B"/>
    <w:rsid w:val="79CC2CFB"/>
    <w:rsid w:val="7A61B506"/>
    <w:rsid w:val="7C8805CF"/>
    <w:rsid w:val="7CE9BF02"/>
    <w:rsid w:val="7CF379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6/DCB.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oi.gov/privacy/contacts" TargetMode="External" /><Relationship Id="rId8" Type="http://schemas.openxmlformats.org/officeDocument/2006/relationships/hyperlink" Target="https://www.whitehouse.gov/sites/whitehouse.gov/files/omb/memoranda/2007/m07-16.pdf" TargetMode="External" /><Relationship Id="rId9" Type="http://schemas.openxmlformats.org/officeDocument/2006/relationships/hyperlink" Target="https://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TaxCatchAll xmlns="7ac0fe3c-e7d0-4901-9125-e7684883dbe1" xsi:nil="true"/>
    <lcf76f155ced4ddcb4097134ff3c332f xmlns="bdd03b77-76d5-4eac-9eb4-7a6294ccfdd2">
      <Terms xmlns="http://schemas.microsoft.com/office/infopath/2007/PartnerControls"/>
    </lcf76f155ced4ddcb4097134ff3c332f>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Year xmlns="bdd03b77-76d5-4eac-9eb4-7a6294ccfdd2" xsi:nil="true"/>
    <OwnerAuthor xmlns="bdd03b77-76d5-4eac-9eb4-7a6294ccfdd2">
      <UserInfo>
        <DisplayName>i:0#.f|membership|bkimbrell@ios.doi.gov,#i:0#.f|membership|bkimbrell@ios.doi.gov,#brian_kimbrell@ios.doi.gov,#,#Kimbrell, Brian D - DOI OCIO,#,#,#</DisplayName>
        <AccountId>789</AccountId>
        <AccountType/>
      </UserInfo>
    </OwnerAuthor>
    <Disposition xmlns="bdd03b77-76d5-4eac-9eb4-7a6294ccfdd2" xsi:nil="true"/>
    <USGSRecordsSeries xmlns="bdd03b77-76d5-4eac-9eb4-7a6294ccfdd2">927</USGSRecordsSeries>
    <DispositionYears xmlns="bdd03b77-76d5-4eac-9eb4-7a6294ccfdd2" xsi:nil="true"/>
    <FileUseDescription xmlns="bdd03b77-76d5-4eac-9eb4-7a6294ccfdd2">[Please Populate]</FileUse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1db41ec817e8dffd282103f64e86056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a455c913c3c2a0c16bf97089d9910686"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union memberTypes="dms:Text">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FACA Survey Manual"/>
              <xsd:enumeration value="FACA FR Notice"/>
              <xsd:enumeration value="FACA Committee Nominees Request  Form"/>
              <xsd:enumeration value="Correspondence Brief"/>
              <xsd:enumeration value="ROCIS"/>
              <xsd:enumeration value="Generic Clearance"/>
              <xsd:enumeration value="Link"/>
              <xsd:enumeration value="Generic PRA Submission"/>
              <xsd:enumeration value="Training"/>
              <xsd:enumeration value="Special Handling Letter"/>
            </xsd:restriction>
          </xsd:simpleType>
        </xsd:un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customXml/itemProps2.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3.xml><?xml version="1.0" encoding="utf-8"?>
<ds:datastoreItem xmlns:ds="http://schemas.openxmlformats.org/officeDocument/2006/customXml" ds:itemID="{3991DCB2-A851-4B4B-AC03-F8D1E563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3807</Words>
  <Characters>22119</Characters>
  <Application>Microsoft Office Word</Application>
  <DocSecurity>0</DocSecurity>
  <Lines>567</Lines>
  <Paragraphs>219</Paragraphs>
  <ScaleCrop>false</ScaleCrop>
  <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Water Resources Research Institute Program Annual Application. National Competitive Grants and Reporting (2025)</dc:title>
  <cp:revision>1</cp:revision>
  <dcterms:created xsi:type="dcterms:W3CDTF">2016-09-07T14:52:00Z</dcterms:created>
  <dcterms:modified xsi:type="dcterms:W3CDTF">2026-03-24T12:56:00Z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docLang">
    <vt:lpwstr>en</vt:lpwstr>
  </property>
  <property fmtid="{D5CDD505-2E9C-101B-9397-08002B2CF9AE}" pid="5" name="ICRTitle">
    <vt:lpwstr>N/A</vt:lpwstr>
  </property>
  <property fmtid="{D5CDD505-2E9C-101B-9397-08002B2CF9AE}" pid="6" name="MediaServiceImageTags">
    <vt:lpwstr/>
  </property>
  <property fmtid="{D5CDD505-2E9C-101B-9397-08002B2CF9AE}" pid="7" name="OMBControlNo">
    <vt:lpwstr>1028-NEW</vt:lpwstr>
  </property>
  <property fmtid="{D5CDD505-2E9C-101B-9397-08002B2CF9AE}" pid="8" name="Order">
    <vt:r8>52784000</vt:r8>
  </property>
  <property fmtid="{D5CDD505-2E9C-101B-9397-08002B2CF9AE}" pid="9" name="Schedule Number">
    <vt:lpwstr>[Please Populate]</vt:lpwstr>
  </property>
  <property fmtid="{D5CDD505-2E9C-101B-9397-08002B2CF9AE}" pid="10" name="TriggerFlowInfo">
    <vt:lpwstr/>
  </property>
  <property fmtid="{D5CDD505-2E9C-101B-9397-08002B2CF9AE}" pid="11" name="_ExtendedDescription">
    <vt:lpwstr/>
  </property>
</Properties>
</file>