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1406" w:rsidRPr="00B60154" w14:paraId="67A16DC5" w14:textId="77777777">
      <w:pPr>
        <w:rPr>
          <w:b/>
          <w:sz w:val="38"/>
          <w:szCs w:val="38"/>
        </w:rPr>
      </w:pPr>
      <w:r w:rsidRPr="00B60154">
        <w:rPr>
          <w:b/>
          <w:sz w:val="38"/>
          <w:szCs w:val="38"/>
        </w:rPr>
        <w:t>Influx Transfer Manual and Prescreen Criteria Review</w:t>
      </w:r>
      <w:r w:rsidRPr="00B60154" w:rsidR="00B60154">
        <w:rPr>
          <w:b/>
          <w:sz w:val="38"/>
          <w:szCs w:val="38"/>
        </w:rPr>
        <w:t xml:space="preserve"> (Form P-17)</w:t>
      </w:r>
    </w:p>
    <w:p w:rsidR="00B60154" w14:paraId="36FCFC27" w14:textId="77777777">
      <w:pPr>
        <w:rPr>
          <w:noProof/>
        </w:rPr>
      </w:pPr>
    </w:p>
    <w:p w:rsidR="006E2539" w14:paraId="226238FD" w14:textId="0B643158">
      <w:pPr>
        <w:rPr>
          <w:b/>
          <w:sz w:val="32"/>
        </w:rPr>
      </w:pPr>
      <w:r>
        <w:rPr>
          <w:b/>
          <w:noProof/>
          <w:sz w:val="28"/>
        </w:rPr>
        <mc:AlternateContent>
          <mc:Choice Requires="wps">
            <w:drawing>
              <wp:anchor distT="0" distB="0" distL="114300" distR="114300" simplePos="0" relativeHeight="251666432" behindDoc="0" locked="0" layoutInCell="1" allowOverlap="1">
                <wp:simplePos x="0" y="0"/>
                <wp:positionH relativeFrom="column">
                  <wp:posOffset>1672876</wp:posOffset>
                </wp:positionH>
                <wp:positionV relativeFrom="paragraph">
                  <wp:posOffset>695358</wp:posOffset>
                </wp:positionV>
                <wp:extent cx="660694" cy="279584"/>
                <wp:effectExtent l="0" t="0" r="6350" b="6350"/>
                <wp:wrapNone/>
                <wp:docPr id="100275773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694" cy="279584"/>
                        </a:xfrm>
                        <a:prstGeom prst="rect">
                          <a:avLst/>
                        </a:prstGeom>
                        <a:solidFill>
                          <a:schemeClr val="lt1"/>
                        </a:solidFill>
                        <a:ln w="6350">
                          <a:noFill/>
                        </a:ln>
                      </wps:spPr>
                      <wps:txbx>
                        <w:txbxContent>
                          <w:p w:rsidR="00097067" w:rsidRPr="00097067" w14:textId="051277CE">
                            <w:pPr>
                              <w:rPr>
                                <w:color w:val="595959" w:themeColor="text1" w:themeTint="A6"/>
                                <w:sz w:val="16"/>
                                <w:szCs w:val="16"/>
                              </w:rPr>
                            </w:pPr>
                            <w:r w:rsidRPr="00097067">
                              <w:rPr>
                                <w:color w:val="595959" w:themeColor="text1" w:themeTint="A6"/>
                                <w:sz w:val="16"/>
                                <w:szCs w:val="16"/>
                              </w:rPr>
                              <w:t>Sex</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52pt;height:22pt;margin-top:54.75pt;margin-left:131.7pt;mso-wrap-distance-bottom:0;mso-wrap-distance-left:9pt;mso-wrap-distance-right:9pt;mso-wrap-distance-top:0;mso-wrap-style:square;position:absolute;visibility:visible;v-text-anchor:top;z-index:251667456" fillcolor="white" stroked="f" strokeweight="0.5pt">
                <v:textbox inset="0,0,0,0">
                  <w:txbxContent>
                    <w:p w:rsidR="00097067" w:rsidRPr="00097067" w14:paraId="3496BEA8" w14:textId="051277CE">
                      <w:pPr>
                        <w:rPr>
                          <w:color w:val="595959" w:themeColor="text1" w:themeTint="A6"/>
                          <w:sz w:val="16"/>
                          <w:szCs w:val="16"/>
                        </w:rPr>
                      </w:pPr>
                      <w:r w:rsidRPr="00097067">
                        <w:rPr>
                          <w:color w:val="595959" w:themeColor="text1" w:themeTint="A6"/>
                          <w:sz w:val="16"/>
                          <w:szCs w:val="16"/>
                        </w:rPr>
                        <w:t>Sex</w:t>
                      </w:r>
                    </w:p>
                  </w:txbxContent>
                </v:textbox>
              </v:shape>
            </w:pict>
          </mc:Fallback>
        </mc:AlternateContent>
      </w:r>
      <w:r w:rsidRPr="009C7ACC" w:rsidR="009A762E">
        <w:rPr>
          <w:b/>
          <w:noProof/>
          <w:sz w:val="28"/>
        </w:rPr>
        <mc:AlternateContent>
          <mc:Choice Requires="wps">
            <w:drawing>
              <wp:anchor distT="0" distB="0" distL="114300" distR="114300" simplePos="0" relativeHeight="251664384" behindDoc="0" locked="0" layoutInCell="1" allowOverlap="1">
                <wp:simplePos x="0" y="0"/>
                <wp:positionH relativeFrom="margin">
                  <wp:posOffset>2491740</wp:posOffset>
                </wp:positionH>
                <wp:positionV relativeFrom="paragraph">
                  <wp:posOffset>3475355</wp:posOffset>
                </wp:positionV>
                <wp:extent cx="1374140" cy="438150"/>
                <wp:effectExtent l="0" t="0" r="283210" b="19050"/>
                <wp:wrapNone/>
                <wp:docPr id="2" name="Callout: Line 2"/>
                <wp:cNvGraphicFramePr/>
                <a:graphic xmlns:a="http://schemas.openxmlformats.org/drawingml/2006/main">
                  <a:graphicData uri="http://schemas.microsoft.com/office/word/2010/wordprocessingShape">
                    <wps:wsp xmlns:wps="http://schemas.microsoft.com/office/word/2010/wordprocessingShape">
                      <wps:cNvSpPr/>
                      <wps:spPr>
                        <a:xfrm>
                          <a:off x="0" y="0"/>
                          <a:ext cx="1374140" cy="438150"/>
                        </a:xfrm>
                        <a:prstGeom prst="borderCallout1">
                          <a:avLst>
                            <a:gd name="adj1" fmla="val 55390"/>
                            <a:gd name="adj2" fmla="val 103892"/>
                            <a:gd name="adj3" fmla="val 95788"/>
                            <a:gd name="adj4" fmla="val 119291"/>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762E" w:rsidRPr="009A762E" w:rsidP="009A762E" w14:textId="17922D1B">
                            <w:pPr>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 xml:space="preserve">Options for all dropdown fields in the </w:t>
                            </w:r>
                            <w:r>
                              <w:rPr>
                                <w:rFonts w:ascii="Myriad Pro" w:hAnsi="Myriad Pro" w:cs="Myriad Pro"/>
                                <w:color w:val="4472C4" w:themeColor="accent5"/>
                                <w:sz w:val="12"/>
                                <w:szCs w:val="12"/>
                              </w:rPr>
                              <w:t>Prescreen Criteria</w:t>
                            </w:r>
                            <w:r w:rsidRPr="009A762E">
                              <w:rPr>
                                <w:rFonts w:ascii="Myriad Pro" w:hAnsi="Myriad Pro" w:cs="Myriad Pro"/>
                                <w:color w:val="4472C4" w:themeColor="accent5"/>
                                <w:sz w:val="12"/>
                                <w:szCs w:val="12"/>
                              </w:rPr>
                              <w:t xml:space="preserve"> section are:</w:t>
                            </w:r>
                          </w:p>
                          <w:p w:rsidR="009A762E" w:rsidRPr="009A762E" w:rsidP="009A762E" w14:textId="4C56E178">
                            <w:pPr>
                              <w:pStyle w:val="ListParagraph"/>
                              <w:numPr>
                                <w:ilvl w:val="0"/>
                                <w:numId w:val="1"/>
                              </w:numPr>
                              <w:ind w:left="90" w:hanging="90"/>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Pass</w:t>
                            </w:r>
                          </w:p>
                          <w:p w:rsidR="009A762E" w:rsidRPr="009A762E" w:rsidP="009A762E" w14:textId="22CF6245">
                            <w:pPr>
                              <w:pStyle w:val="ListParagraph"/>
                              <w:numPr>
                                <w:ilvl w:val="0"/>
                                <w:numId w:val="1"/>
                              </w:numPr>
                              <w:ind w:left="90" w:hanging="90"/>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 xml:space="preserve">Fail </w:t>
                            </w:r>
                          </w:p>
                        </w:txbxContent>
                      </wps:txbx>
                      <wps:bodyPr rot="0" spcFirstLastPara="0" vertOverflow="overflow" horzOverflow="overflow" vert="horz" wrap="square" lIns="4572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 o:spid="_x0000_s1026" type="#_x0000_t47" style="width:108.2pt;height:34.5pt;margin-top:273.65pt;margin-left:196.2pt;mso-height-percent:0;mso-height-relative:margin;mso-position-horizontal-relative:margin;mso-width-percent:0;mso-width-relative:margin;mso-wrap-distance-bottom:0;mso-wrap-distance-left:9pt;mso-wrap-distance-right:9pt;mso-wrap-distance-top:0;mso-wrap-style:square;position:absolute;visibility:visible;v-text-anchor:top;z-index:251665408" adj="25767,20690,22441,11964" fillcolor="white" strokecolor="#4472c4" strokeweight="1pt">
                <o:callout v:ext="edit" minusx="t" minusy="t"/>
                <v:textbox inset="3.6pt,0,,0">
                  <w:txbxContent>
                    <w:p w:rsidR="009A762E" w:rsidRPr="009A762E" w:rsidP="009A762E" w14:paraId="3FFD4DBC" w14:textId="17922D1B">
                      <w:pPr>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 xml:space="preserve">Options for all dropdown fields in the </w:t>
                      </w:r>
                      <w:r>
                        <w:rPr>
                          <w:rFonts w:ascii="Myriad Pro" w:hAnsi="Myriad Pro" w:cs="Myriad Pro"/>
                          <w:color w:val="4472C4" w:themeColor="accent5"/>
                          <w:sz w:val="12"/>
                          <w:szCs w:val="12"/>
                        </w:rPr>
                        <w:t>Prescreen Criteria</w:t>
                      </w:r>
                      <w:r w:rsidRPr="009A762E">
                        <w:rPr>
                          <w:rFonts w:ascii="Myriad Pro" w:hAnsi="Myriad Pro" w:cs="Myriad Pro"/>
                          <w:color w:val="4472C4" w:themeColor="accent5"/>
                          <w:sz w:val="12"/>
                          <w:szCs w:val="12"/>
                        </w:rPr>
                        <w:t xml:space="preserve"> section are:</w:t>
                      </w:r>
                    </w:p>
                    <w:p w:rsidR="009A762E" w:rsidRPr="009A762E" w:rsidP="009A762E" w14:paraId="739C0B1F" w14:textId="4C56E178">
                      <w:pPr>
                        <w:pStyle w:val="ListParagraph"/>
                        <w:numPr>
                          <w:ilvl w:val="0"/>
                          <w:numId w:val="1"/>
                        </w:numPr>
                        <w:ind w:left="90" w:hanging="90"/>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Pass</w:t>
                      </w:r>
                    </w:p>
                    <w:p w:rsidR="009A762E" w:rsidRPr="009A762E" w:rsidP="009A762E" w14:paraId="44639EB2" w14:textId="22CF6245">
                      <w:pPr>
                        <w:pStyle w:val="ListParagraph"/>
                        <w:numPr>
                          <w:ilvl w:val="0"/>
                          <w:numId w:val="1"/>
                        </w:numPr>
                        <w:ind w:left="90" w:hanging="90"/>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Fail</w:t>
                      </w:r>
                      <w:r w:rsidRPr="009A762E">
                        <w:rPr>
                          <w:rFonts w:ascii="Myriad Pro" w:hAnsi="Myriad Pro" w:cs="Myriad Pro"/>
                          <w:color w:val="4472C4" w:themeColor="accent5"/>
                          <w:sz w:val="12"/>
                          <w:szCs w:val="12"/>
                        </w:rPr>
                        <w:t xml:space="preserve"> </w:t>
                      </w:r>
                    </w:p>
                  </w:txbxContent>
                </v:textbox>
                <w10:wrap anchorx="margin"/>
              </v:shape>
            </w:pict>
          </mc:Fallback>
        </mc:AlternateContent>
      </w:r>
      <w:r w:rsidRPr="009C7ACC">
        <w:rPr>
          <w:b/>
          <w:noProof/>
          <w:sz w:val="28"/>
        </w:rPr>
        <mc:AlternateContent>
          <mc:Choice Requires="wps">
            <w:drawing>
              <wp:anchor distT="0" distB="0" distL="114300" distR="114300" simplePos="0" relativeHeight="251662336" behindDoc="0" locked="0" layoutInCell="1" allowOverlap="1">
                <wp:simplePos x="0" y="0"/>
                <wp:positionH relativeFrom="margin">
                  <wp:posOffset>2550277</wp:posOffset>
                </wp:positionH>
                <wp:positionV relativeFrom="paragraph">
                  <wp:posOffset>1060061</wp:posOffset>
                </wp:positionV>
                <wp:extent cx="1374140" cy="438150"/>
                <wp:effectExtent l="0" t="0" r="207010" b="19050"/>
                <wp:wrapNone/>
                <wp:docPr id="155" name="Callout: Line 155"/>
                <wp:cNvGraphicFramePr/>
                <a:graphic xmlns:a="http://schemas.openxmlformats.org/drawingml/2006/main">
                  <a:graphicData uri="http://schemas.microsoft.com/office/word/2010/wordprocessingShape">
                    <wps:wsp xmlns:wps="http://schemas.microsoft.com/office/word/2010/wordprocessingShape">
                      <wps:cNvSpPr/>
                      <wps:spPr>
                        <a:xfrm>
                          <a:off x="0" y="0"/>
                          <a:ext cx="1374140" cy="438150"/>
                        </a:xfrm>
                        <a:prstGeom prst="borderCallout1">
                          <a:avLst>
                            <a:gd name="adj1" fmla="val 55390"/>
                            <a:gd name="adj2" fmla="val 103892"/>
                            <a:gd name="adj3" fmla="val 89756"/>
                            <a:gd name="adj4" fmla="val 113521"/>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762E" w:rsidRPr="009A762E" w:rsidP="009A762E" w14:textId="614F8338">
                            <w:pPr>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Options for all dropdown fields in the Manual Review section are:</w:t>
                            </w:r>
                          </w:p>
                          <w:p w:rsidR="009A762E" w:rsidRPr="009A762E" w:rsidP="009A762E" w14:textId="6D4F6CF9">
                            <w:pPr>
                              <w:pStyle w:val="ListParagraph"/>
                              <w:numPr>
                                <w:ilvl w:val="0"/>
                                <w:numId w:val="1"/>
                              </w:numPr>
                              <w:ind w:left="90" w:hanging="90"/>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Pass</w:t>
                            </w:r>
                          </w:p>
                          <w:p w:rsidR="009A762E" w:rsidRPr="009A762E" w:rsidP="009A762E" w14:textId="7E92FF12">
                            <w:pPr>
                              <w:pStyle w:val="ListParagraph"/>
                              <w:numPr>
                                <w:ilvl w:val="0"/>
                                <w:numId w:val="1"/>
                              </w:numPr>
                              <w:ind w:left="90" w:hanging="90"/>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Fail</w:t>
                            </w:r>
                          </w:p>
                        </w:txbxContent>
                      </wps:txbx>
                      <wps:bodyPr rot="0" spcFirstLastPara="0" vertOverflow="overflow" horzOverflow="overflow" vert="horz" wrap="square" lIns="4572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allout: Line 155" o:spid="_x0000_s1027" type="#_x0000_t47" style="width:108.2pt;height:34.5pt;margin-top:83.45pt;margin-left:200.8pt;mso-height-percent:0;mso-height-relative:margin;mso-position-horizontal-relative:margin;mso-width-percent:0;mso-width-relative:margin;mso-wrap-distance-bottom:0;mso-wrap-distance-left:9pt;mso-wrap-distance-right:9pt;mso-wrap-distance-top:0;mso-wrap-style:square;position:absolute;visibility:visible;v-text-anchor:top;z-index:251663360" adj="24521,19387,22441,11964" fillcolor="white" strokecolor="#4472c4" strokeweight="1pt">
                <o:callout v:ext="edit" minusx="t" minusy="t"/>
                <v:textbox inset="3.6pt,0,,0">
                  <w:txbxContent>
                    <w:p w:rsidR="009A762E" w:rsidRPr="009A762E" w:rsidP="009A762E" w14:paraId="3816BBD5" w14:textId="614F8338">
                      <w:pPr>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Options for all dropdown fields in the Manual Review section are:</w:t>
                      </w:r>
                    </w:p>
                    <w:p w:rsidR="009A762E" w:rsidRPr="009A762E" w:rsidP="009A762E" w14:paraId="2D431589" w14:textId="6D4F6CF9">
                      <w:pPr>
                        <w:pStyle w:val="ListParagraph"/>
                        <w:numPr>
                          <w:ilvl w:val="0"/>
                          <w:numId w:val="1"/>
                        </w:numPr>
                        <w:ind w:left="90" w:hanging="90"/>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Pass</w:t>
                      </w:r>
                    </w:p>
                    <w:p w:rsidR="009A762E" w:rsidRPr="009A762E" w:rsidP="009A762E" w14:paraId="0DE23247" w14:textId="7E92FF12">
                      <w:pPr>
                        <w:pStyle w:val="ListParagraph"/>
                        <w:numPr>
                          <w:ilvl w:val="0"/>
                          <w:numId w:val="1"/>
                        </w:numPr>
                        <w:ind w:left="90" w:hanging="90"/>
                        <w:rPr>
                          <w:rFonts w:ascii="Myriad Pro" w:hAnsi="Myriad Pro" w:cs="Myriad Pro"/>
                          <w:color w:val="4472C4" w:themeColor="accent5"/>
                          <w:sz w:val="12"/>
                          <w:szCs w:val="12"/>
                        </w:rPr>
                      </w:pPr>
                      <w:r w:rsidRPr="009A762E">
                        <w:rPr>
                          <w:rFonts w:ascii="Myriad Pro" w:hAnsi="Myriad Pro" w:cs="Myriad Pro"/>
                          <w:color w:val="4472C4" w:themeColor="accent5"/>
                          <w:sz w:val="12"/>
                          <w:szCs w:val="12"/>
                        </w:rPr>
                        <w:t>Fail</w:t>
                      </w:r>
                    </w:p>
                  </w:txbxContent>
                </v:textbox>
                <w10:wrap anchorx="margin"/>
              </v:shape>
            </w:pict>
          </mc:Fallback>
        </mc:AlternateContent>
      </w:r>
      <w:r w:rsidR="00CB6792">
        <w:rPr>
          <w:b/>
          <w:noProof/>
          <w:sz w:val="32"/>
        </w:rPr>
        <mc:AlternateContent>
          <mc:Choice Requires="wps">
            <w:drawing>
              <wp:anchor distT="0" distB="0" distL="114300" distR="114300" simplePos="0" relativeHeight="251660288" behindDoc="0" locked="0" layoutInCell="1" allowOverlap="1">
                <wp:simplePos x="0" y="0"/>
                <wp:positionH relativeFrom="column">
                  <wp:posOffset>2349500</wp:posOffset>
                </wp:positionH>
                <wp:positionV relativeFrom="paragraph">
                  <wp:posOffset>538480</wp:posOffset>
                </wp:positionV>
                <wp:extent cx="723900" cy="438150"/>
                <wp:effectExtent l="0" t="0" r="19050" b="1905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23900"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1" o:spid="_x0000_s1028" style="width:57pt;height:34.5pt;margin-top:42.4pt;margin-left:185pt;mso-wrap-distance-bottom:0;mso-wrap-distance-left:9pt;mso-wrap-distance-right:9pt;mso-wrap-distance-top:0;mso-wrap-style:square;position:absolute;visibility:visible;v-text-anchor:middle;z-index:251661312" fillcolor="white" strokecolor="white" strokeweight="1pt"/>
            </w:pict>
          </mc:Fallback>
        </mc:AlternateContent>
      </w:r>
      <w:r w:rsidR="00CB6792">
        <w:rPr>
          <w:b/>
          <w:noProof/>
          <w:sz w:val="32"/>
        </w:rPr>
        <mc:AlternateContent>
          <mc:Choice Requires="wps">
            <w:drawing>
              <wp:anchor distT="0" distB="0" distL="114300" distR="114300" simplePos="0" relativeHeight="251658240" behindDoc="0" locked="0" layoutInCell="1" allowOverlap="1">
                <wp:simplePos x="0" y="0"/>
                <wp:positionH relativeFrom="column">
                  <wp:posOffset>844550</wp:posOffset>
                </wp:positionH>
                <wp:positionV relativeFrom="paragraph">
                  <wp:posOffset>576580</wp:posOffset>
                </wp:positionV>
                <wp:extent cx="723900" cy="438150"/>
                <wp:effectExtent l="0" t="0" r="19050" b="1905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723900"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0" o:spid="_x0000_s1029" style="width:57pt;height:34.5pt;margin-top:45.4pt;margin-left:66.5pt;mso-wrap-distance-bottom:0;mso-wrap-distance-left:9pt;mso-wrap-distance-right:9pt;mso-wrap-distance-top:0;mso-wrap-style:square;position:absolute;visibility:visible;v-text-anchor:middle;z-index:251659264" fillcolor="white" strokecolor="white" strokeweight="1pt"/>
            </w:pict>
          </mc:Fallback>
        </mc:AlternateContent>
      </w:r>
      <w:r w:rsidR="00B60154">
        <w:rPr>
          <w:noProof/>
        </w:rPr>
        <w:drawing>
          <wp:inline distT="0" distB="0" distL="0" distR="0">
            <wp:extent cx="6870700" cy="3498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rcRect l="14773" t="17396" r="16919" b="20763"/>
                    <a:stretch>
                      <a:fillRect/>
                    </a:stretch>
                  </pic:blipFill>
                  <pic:spPr bwMode="auto">
                    <a:xfrm>
                      <a:off x="0" y="0"/>
                      <a:ext cx="6870700" cy="34988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60154" w14:paraId="2D310D11" w14:textId="0D1122F6">
      <w:pPr>
        <w:rPr>
          <w:b/>
          <w:sz w:val="32"/>
        </w:rPr>
      </w:pPr>
      <w:r>
        <w:rPr>
          <w:noProof/>
        </w:rPr>
        <w:drawing>
          <wp:inline distT="0" distB="0" distL="0" distR="0">
            <wp:extent cx="6877050" cy="3194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8"/>
                    <a:srcRect l="14773" t="26150" r="16856" b="17396"/>
                    <a:stretch>
                      <a:fillRect/>
                    </a:stretch>
                  </pic:blipFill>
                  <pic:spPr bwMode="auto">
                    <a:xfrm>
                      <a:off x="0" y="0"/>
                      <a:ext cx="6877050" cy="3194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60154" w14:paraId="4DCEFFC5" w14:textId="77777777">
      <w:pPr>
        <w:rPr>
          <w:b/>
          <w:sz w:val="32"/>
        </w:rPr>
      </w:pPr>
      <w:r>
        <w:rPr>
          <w:noProof/>
        </w:rPr>
        <w:drawing>
          <wp:inline distT="0" distB="0" distL="0" distR="0">
            <wp:extent cx="6877050" cy="2590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rcRect l="14773" t="26261" r="16856" b="27947"/>
                    <a:stretch>
                      <a:fillRect/>
                    </a:stretch>
                  </pic:blipFill>
                  <pic:spPr bwMode="auto">
                    <a:xfrm>
                      <a:off x="0" y="0"/>
                      <a:ext cx="6877050" cy="25908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B6792" w14:paraId="1937040E" w14:textId="77777777">
      <w:pPr>
        <w:rPr>
          <w:b/>
          <w:sz w:val="32"/>
        </w:rPr>
      </w:pPr>
    </w:p>
    <w:p w:rsidR="00CB6792" w14:paraId="6EA35E9B" w14:textId="77777777">
      <w:pPr>
        <w:rPr>
          <w:b/>
          <w:sz w:val="32"/>
        </w:rPr>
      </w:pPr>
      <w:r>
        <w:rPr>
          <w:noProof/>
        </w:rPr>
        <w:drawing>
          <wp:inline distT="0" distB="0" distL="0" distR="0">
            <wp:extent cx="6856651" cy="353060"/>
            <wp:effectExtent l="0" t="0" r="190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9"/>
                    <a:srcRect l="14773" t="72977" r="16856" b="20765"/>
                    <a:stretch>
                      <a:fillRect/>
                    </a:stretch>
                  </pic:blipFill>
                  <pic:spPr bwMode="auto">
                    <a:xfrm>
                      <a:off x="0" y="0"/>
                      <a:ext cx="6858000" cy="35312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60154" w14:paraId="0C715221" w14:textId="77777777">
      <w:pPr>
        <w:rPr>
          <w:b/>
          <w:sz w:val="32"/>
        </w:rPr>
      </w:pPr>
      <w:r>
        <w:rPr>
          <w:noProof/>
        </w:rPr>
        <w:drawing>
          <wp:inline distT="0" distB="0" distL="0" distR="0">
            <wp:extent cx="6877050" cy="1873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0"/>
                    <a:srcRect l="14773" t="56791" r="16856" b="10100"/>
                    <a:stretch>
                      <a:fillRect/>
                    </a:stretch>
                  </pic:blipFill>
                  <pic:spPr bwMode="auto">
                    <a:xfrm>
                      <a:off x="0" y="0"/>
                      <a:ext cx="6877050" cy="18732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60154" w:rsidRPr="006E2539" w14:paraId="72686C2A" w14:textId="77777777">
      <w:pPr>
        <w:rPr>
          <w:b/>
          <w:sz w:val="32"/>
        </w:rPr>
      </w:pPr>
      <w:r>
        <w:rPr>
          <w:b/>
          <w:noProof/>
        </w:rPr>
        <mc:AlternateContent>
          <mc:Choice Requires="wps">
            <w:drawing>
              <wp:inline distT="0" distB="0" distL="0" distR="0">
                <wp:extent cx="6870700" cy="1149350"/>
                <wp:effectExtent l="0" t="0" r="25400" b="12700"/>
                <wp:docPr id="114" name="Text Box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0700" cy="1149350"/>
                        </a:xfrm>
                        <a:prstGeom prst="rect">
                          <a:avLst/>
                        </a:prstGeom>
                        <a:solidFill>
                          <a:schemeClr val="lt1"/>
                        </a:solidFill>
                        <a:ln w="6350">
                          <a:solidFill>
                            <a:prstClr val="black"/>
                          </a:solidFill>
                        </a:ln>
                      </wps:spPr>
                      <wps:txbx>
                        <w:txbxContent>
                          <w:p w:rsidR="009A762E" w:rsidRPr="009A762E" w:rsidP="009A762E" w14:textId="62FD29F0">
                            <w:pPr>
                              <w:spacing w:after="120"/>
                              <w:rPr>
                                <w:sz w:val="13"/>
                                <w:szCs w:val="13"/>
                              </w:rPr>
                            </w:pPr>
                            <w:r w:rsidRPr="009A762E">
                              <w:rPr>
                                <w:rFonts w:ascii="Segoe UI" w:hAnsi="Segoe UI" w:cs="Segoe UI"/>
                                <w:color w:val="264A64"/>
                                <w:sz w:val="13"/>
                                <w:szCs w:val="13"/>
                              </w:rPr>
                              <w:t>OMB 0970-0554 [valid through MM/DD/YYYY]</w:t>
                            </w:r>
                          </w:p>
                          <w:p w:rsidR="00B60154" w:rsidRPr="009A762E" w:rsidP="009A762E" w14:textId="3D990DE7">
                            <w:pPr>
                              <w:spacing w:after="120"/>
                              <w:rPr>
                                <w:rFonts w:ascii="Segoe UI" w:hAnsi="Segoe UI" w:cs="Segoe UI"/>
                                <w:color w:val="264A64"/>
                                <w:sz w:val="13"/>
                                <w:szCs w:val="13"/>
                              </w:rPr>
                            </w:pPr>
                            <w:r w:rsidRPr="009A762E">
                              <w:rPr>
                                <w:rFonts w:ascii="Segoe UI" w:hAnsi="Segoe UI" w:cs="Segoe UI"/>
                                <w:color w:val="264A64"/>
                                <w:sz w:val="13"/>
                                <w:szCs w:val="13"/>
                              </w:rPr>
                              <w:t xml:space="preserve">THE PAPERWORK REDUCTION ACT OF 1995 (Pub. L. 104-13) STATEMENT OF PUBLIC BURDEN: The purpose of this information collection is to evaluate each UAC’s eligibility to be transferred to an influx care facility. Care provider staff review and update information on daily during times of influx. Public reporting burden for this collection of information is estimated to average 0.5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1" w:history="1">
                              <w:r w:rsidRPr="00BC0022" w:rsidR="0087579B">
                                <w:rPr>
                                  <w:rStyle w:val="Hyperlink"/>
                                  <w:rFonts w:ascii="Segoe UI" w:hAnsi="Segoe UI" w:cs="Segoe UI"/>
                                  <w:sz w:val="13"/>
                                  <w:szCs w:val="13"/>
                                </w:rPr>
                                <w:t>UACPolicy@acf.hhs.gov</w:t>
                              </w:r>
                            </w:hyperlink>
                            <w:r w:rsidRPr="009A762E">
                              <w:rPr>
                                <w:rFonts w:ascii="Segoe UI" w:hAnsi="Segoe UI" w:cs="Segoe UI"/>
                                <w:color w:val="264A64"/>
                                <w:sz w:val="13"/>
                                <w:szCs w:val="13"/>
                              </w:rPr>
                              <w:t>.</w:t>
                            </w:r>
                          </w:p>
                          <w:p w:rsidR="00B60154" w:rsidRPr="009A762E" w:rsidP="00B60154" w14:textId="18FBB401">
                            <w:pPr>
                              <w:rPr>
                                <w:rFonts w:ascii="Segoe UI" w:hAnsi="Segoe UI" w:cs="Segoe UI"/>
                                <w:color w:val="264A64"/>
                                <w:sz w:val="13"/>
                                <w:szCs w:val="13"/>
                              </w:rPr>
                            </w:pPr>
                            <w:r w:rsidRPr="009A762E">
                              <w:rPr>
                                <w:rFonts w:ascii="Segoe UI" w:hAnsi="Segoe UI" w:cs="Segoe UI"/>
                                <w:color w:val="264A64"/>
                                <w:sz w:val="13"/>
                                <w:szCs w:val="13"/>
                              </w:rPr>
                              <w:t>P-17 [Rev. 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14" o:spid="_x0000_i1030" type="#_x0000_t202" style="width:541pt;height:90.5pt;mso-left-percent:-10001;mso-position-horizontal-relative:char;mso-position-vertical-relative:line;mso-top-percent:-10001;mso-wrap-style:square;visibility:visible;v-text-anchor:top" fillcolor="white" strokeweight="0.5pt">
                <v:textbox>
                  <w:txbxContent>
                    <w:p w:rsidR="009A762E" w:rsidRPr="009A762E" w:rsidP="009A762E" w14:paraId="5E32EEB9" w14:textId="62FD29F0">
                      <w:pPr>
                        <w:spacing w:after="120"/>
                        <w:rPr>
                          <w:sz w:val="13"/>
                          <w:szCs w:val="13"/>
                        </w:rPr>
                      </w:pPr>
                      <w:r w:rsidRPr="009A762E">
                        <w:rPr>
                          <w:rFonts w:ascii="Segoe UI" w:hAnsi="Segoe UI" w:cs="Segoe UI"/>
                          <w:color w:val="264A64"/>
                          <w:sz w:val="13"/>
                          <w:szCs w:val="13"/>
                        </w:rPr>
                        <w:t>OMB 0970-0554 [valid through MM/DD/YYYY]</w:t>
                      </w:r>
                    </w:p>
                    <w:p w:rsidR="00B60154" w:rsidRPr="009A762E" w:rsidP="009A762E" w14:paraId="673CF355" w14:textId="3D990DE7">
                      <w:pPr>
                        <w:spacing w:after="120"/>
                        <w:rPr>
                          <w:rFonts w:ascii="Segoe UI" w:hAnsi="Segoe UI" w:cs="Segoe UI"/>
                          <w:color w:val="264A64"/>
                          <w:sz w:val="13"/>
                          <w:szCs w:val="13"/>
                        </w:rPr>
                      </w:pPr>
                      <w:r w:rsidRPr="009A762E">
                        <w:rPr>
                          <w:rFonts w:ascii="Segoe UI" w:hAnsi="Segoe UI" w:cs="Segoe UI"/>
                          <w:color w:val="264A64"/>
                          <w:sz w:val="13"/>
                          <w:szCs w:val="13"/>
                        </w:rPr>
                        <w:t xml:space="preserve">THE PAPERWORK REDUCTION ACT OF 1995 (Pub. L. 104-13) STATEMENT OF PUBLIC BURDEN: The purpose of this information collection is to evaluate each UAC’s eligibility to be transferred to an influx care facility. Care provider staff review and update information on daily during times of influx. Public reporting burden for this collection of information is estimated to average 0.5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1" w:history="1">
                        <w:r w:rsidRPr="00BC0022" w:rsidR="0087579B">
                          <w:rPr>
                            <w:rStyle w:val="Hyperlink"/>
                            <w:rFonts w:ascii="Segoe UI" w:hAnsi="Segoe UI" w:cs="Segoe UI"/>
                            <w:sz w:val="13"/>
                            <w:szCs w:val="13"/>
                          </w:rPr>
                          <w:t>UACPolicy@acf.hhs.gov</w:t>
                        </w:r>
                      </w:hyperlink>
                      <w:r w:rsidRPr="009A762E">
                        <w:rPr>
                          <w:rFonts w:ascii="Segoe UI" w:hAnsi="Segoe UI" w:cs="Segoe UI"/>
                          <w:color w:val="264A64"/>
                          <w:sz w:val="13"/>
                          <w:szCs w:val="13"/>
                        </w:rPr>
                        <w:t>.</w:t>
                      </w:r>
                    </w:p>
                    <w:p w:rsidR="00B60154" w:rsidRPr="009A762E" w:rsidP="00B60154" w14:paraId="284FF95E" w14:textId="18FBB401">
                      <w:pPr>
                        <w:rPr>
                          <w:rFonts w:ascii="Segoe UI" w:hAnsi="Segoe UI" w:cs="Segoe UI"/>
                          <w:color w:val="264A64"/>
                          <w:sz w:val="13"/>
                          <w:szCs w:val="13"/>
                        </w:rPr>
                      </w:pPr>
                      <w:r w:rsidRPr="009A762E">
                        <w:rPr>
                          <w:rFonts w:ascii="Segoe UI" w:hAnsi="Segoe UI" w:cs="Segoe UI"/>
                          <w:color w:val="264A64"/>
                          <w:sz w:val="13"/>
                          <w:szCs w:val="13"/>
                        </w:rPr>
                        <w:t>P-17 [Rev. MM/DD/YYYY]</w:t>
                      </w:r>
                    </w:p>
                  </w:txbxContent>
                </v:textbox>
                <w10:wrap type="none"/>
                <w10:anchorlock/>
              </v:shape>
            </w:pict>
          </mc:Fallback>
        </mc:AlternateContent>
      </w:r>
    </w:p>
    <w:sectPr w:rsidSect="00CB6792">
      <w:pgSz w:w="12240" w:h="1728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66227"/>
    <w:multiLevelType w:val="hybridMultilevel"/>
    <w:tmpl w:val="920C6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886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39"/>
    <w:rsid w:val="000438B7"/>
    <w:rsid w:val="00097067"/>
    <w:rsid w:val="00215724"/>
    <w:rsid w:val="0045003F"/>
    <w:rsid w:val="006E2539"/>
    <w:rsid w:val="007C598A"/>
    <w:rsid w:val="0087579B"/>
    <w:rsid w:val="008A6938"/>
    <w:rsid w:val="0095046A"/>
    <w:rsid w:val="009A762E"/>
    <w:rsid w:val="00A64794"/>
    <w:rsid w:val="00B60154"/>
    <w:rsid w:val="00BC0022"/>
    <w:rsid w:val="00CB6792"/>
    <w:rsid w:val="00D61406"/>
    <w:rsid w:val="00E1070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C93C928"/>
  <w15:chartTrackingRefBased/>
  <w15:docId w15:val="{48B7DC19-F5C5-4473-96B3-54A177F9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154"/>
    <w:rPr>
      <w:color w:val="0563C1" w:themeColor="hyperlink"/>
      <w:u w:val="single"/>
    </w:rPr>
  </w:style>
  <w:style w:type="character" w:styleId="UnresolvedMention">
    <w:name w:val="Unresolved Mention"/>
    <w:basedOn w:val="DefaultParagraphFont"/>
    <w:uiPriority w:val="99"/>
    <w:semiHidden/>
    <w:unhideWhenUsed/>
    <w:rsid w:val="009A762E"/>
    <w:rPr>
      <w:color w:val="605E5C"/>
      <w:shd w:val="clear" w:color="auto" w:fill="E1DFDD"/>
    </w:rPr>
  </w:style>
  <w:style w:type="paragraph" w:styleId="ListParagraph">
    <w:name w:val="List Paragraph"/>
    <w:basedOn w:val="Normal"/>
    <w:uiPriority w:val="34"/>
    <w:qFormat/>
    <w:rsid w:val="009A7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yperlink" Target="mailto:UACPolicy@acf.hhs.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04BAB37D-BD6A-446E-849F-99517EC6B5A0}">
  <ds:schemaRefs/>
</ds:datastoreItem>
</file>

<file path=customXml/itemProps2.xml><?xml version="1.0" encoding="utf-8"?>
<ds:datastoreItem xmlns:ds="http://schemas.openxmlformats.org/officeDocument/2006/customXml" ds:itemID="{DF5C4495-6811-492C-B363-15DA4DFA46E8}">
  <ds:schemaRefs/>
</ds:datastoreItem>
</file>

<file path=customXml/itemProps3.xml><?xml version="1.0" encoding="utf-8"?>
<ds:datastoreItem xmlns:ds="http://schemas.openxmlformats.org/officeDocument/2006/customXml" ds:itemID="{AB4F1A48-87D6-4220-ADC0-9C50052B25C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DPP-SH</dc:creator>
  <cp:lastModifiedBy>Herboldsheimer, Shannon (ACF)</cp:lastModifiedBy>
  <cp:revision>9</cp:revision>
  <dcterms:created xsi:type="dcterms:W3CDTF">2020-12-17T18:04:00Z</dcterms:created>
  <dcterms:modified xsi:type="dcterms:W3CDTF">2026-02-05T19:07:00Z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