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Heading1"/>
      </w:pPr>
      <w:bookmarkStart w:id="0" w:name="Supporting Statement for Provider Networ"/>
      <w:bookmarkEnd w:id="0"/>
      <w:r>
        <w:t>Supporting</w:t>
      </w:r>
      <w:r>
        <w:rPr>
          <w:spacing w:val="-18"/>
        </w:rPr>
        <w:t xml:space="preserve"> </w:t>
      </w:r>
      <w:r>
        <w:t>Statement</w:t>
      </w:r>
      <w:r>
        <w:rPr>
          <w:spacing w:val="-17"/>
        </w:rPr>
        <w:t xml:space="preserve"> </w:t>
      </w:r>
      <w:r>
        <w:t>for</w:t>
      </w:r>
      <w:r>
        <w:rPr>
          <w:spacing w:val="-22"/>
        </w:rPr>
        <w:t xml:space="preserve"> </w:t>
      </w:r>
      <w:r>
        <w:t>Provider</w:t>
      </w:r>
      <w:r>
        <w:rPr>
          <w:spacing w:val="-18"/>
        </w:rPr>
        <w:t xml:space="preserve"> </w:t>
      </w:r>
      <w:r>
        <w:t>Network</w:t>
      </w:r>
      <w:r>
        <w:rPr>
          <w:spacing w:val="-20"/>
        </w:rPr>
        <w:t xml:space="preserve"> </w:t>
      </w:r>
      <w:r>
        <w:t>Coverage</w:t>
      </w:r>
      <w:r>
        <w:rPr>
          <w:spacing w:val="-17"/>
        </w:rPr>
        <w:t xml:space="preserve"> </w:t>
      </w:r>
      <w:r>
        <w:t>Data</w:t>
      </w:r>
      <w:r>
        <w:rPr>
          <w:spacing w:val="-12"/>
        </w:rPr>
        <w:t xml:space="preserve"> </w:t>
      </w:r>
      <w:r>
        <w:t>Collection (CMS-10594/OMB control number: 0938-1302)</w:t>
      </w:r>
    </w:p>
    <w:p>
      <w:pPr>
        <w:pStyle w:val="Heading2"/>
        <w:numPr>
          <w:ilvl w:val="0"/>
          <w:numId w:val="1"/>
        </w:numPr>
        <w:tabs>
          <w:tab w:val="left" w:pos="787"/>
        </w:tabs>
        <w:spacing w:before="241" w:after="0" w:line="240" w:lineRule="auto"/>
        <w:ind w:left="787" w:right="0" w:hanging="547"/>
        <w:jc w:val="left"/>
      </w:pPr>
      <w:bookmarkStart w:id="1" w:name="A. Background "/>
      <w:bookmarkEnd w:id="1"/>
      <w:r>
        <w:rPr>
          <w:spacing w:val="-2"/>
        </w:rPr>
        <w:t>Background</w:t>
      </w:r>
    </w:p>
    <w:p>
      <w:pPr>
        <w:pStyle w:val="BodyText"/>
        <w:spacing w:before="168"/>
        <w:ind w:right="229"/>
      </w:pPr>
      <w:r>
        <w:t>The Patient Protection and Affordable Care Act (P.L. 111-148) was signed into law on March 23, 2010. On March 30, 2010, the Health Care and Education Reconciliation Act of 2010 (P.L.111-152) was signed into law. The two laws are collectively referred to as the Affordable Care Act (ACA).</w:t>
      </w:r>
      <w:r>
        <w:rPr>
          <w:spacing w:val="-4"/>
        </w:rPr>
        <w:t xml:space="preserve"> </w:t>
      </w:r>
      <w:r>
        <w:t>The</w:t>
      </w:r>
      <w:r>
        <w:rPr>
          <w:spacing w:val="-5"/>
        </w:rPr>
        <w:t xml:space="preserve"> </w:t>
      </w:r>
      <w:r>
        <w:t>ACA</w:t>
      </w:r>
      <w:r>
        <w:rPr>
          <w:spacing w:val="-3"/>
        </w:rPr>
        <w:t xml:space="preserve"> </w:t>
      </w:r>
      <w:r>
        <w:t>established</w:t>
      </w:r>
      <w:r>
        <w:rPr>
          <w:spacing w:val="-4"/>
        </w:rPr>
        <w:t xml:space="preserve"> </w:t>
      </w:r>
      <w:r>
        <w:t>competitive</w:t>
      </w:r>
      <w:r>
        <w:rPr>
          <w:spacing w:val="-5"/>
        </w:rPr>
        <w:t xml:space="preserve"> </w:t>
      </w:r>
      <w:r>
        <w:t>private</w:t>
      </w:r>
      <w:r>
        <w:rPr>
          <w:spacing w:val="-3"/>
        </w:rPr>
        <w:t xml:space="preserve"> </w:t>
      </w:r>
      <w:r>
        <w:t>health</w:t>
      </w:r>
      <w:r>
        <w:rPr>
          <w:spacing w:val="-4"/>
        </w:rPr>
        <w:t xml:space="preserve"> </w:t>
      </w:r>
      <w:r>
        <w:t>insurance</w:t>
      </w:r>
      <w:r>
        <w:rPr>
          <w:spacing w:val="-5"/>
        </w:rPr>
        <w:t xml:space="preserve"> </w:t>
      </w:r>
      <w:r>
        <w:t>markets</w:t>
      </w:r>
      <w:r>
        <w:rPr>
          <w:spacing w:val="-2"/>
        </w:rPr>
        <w:t xml:space="preserve"> </w:t>
      </w:r>
      <w:r>
        <w:t>called</w:t>
      </w:r>
      <w:r>
        <w:rPr>
          <w:spacing w:val="-4"/>
        </w:rPr>
        <w:t xml:space="preserve"> </w:t>
      </w:r>
      <w:r>
        <w:t>Marketplaces,</w:t>
      </w:r>
      <w:r>
        <w:rPr>
          <w:spacing w:val="-5"/>
        </w:rPr>
        <w:t xml:space="preserve"> </w:t>
      </w:r>
      <w:r>
        <w:t>or Exchanges, which gave millions of Americans and small businesses access to affordable, quality insurance options that meet certain requirements. These requirements include ensuring sufficient choice of providers and providing</w:t>
      </w:r>
      <w:r>
        <w:rPr>
          <w:spacing w:val="-2"/>
        </w:rPr>
        <w:t xml:space="preserve"> </w:t>
      </w:r>
      <w:r>
        <w:t>information to enrollees and prospective enrollees on the availability of in-network and out-of-network providers.</w:t>
      </w:r>
    </w:p>
    <w:p>
      <w:pPr>
        <w:spacing w:before="240"/>
        <w:ind w:left="239" w:right="216" w:firstLine="0"/>
        <w:jc w:val="left"/>
        <w:rPr>
          <w:sz w:val="24"/>
        </w:rPr>
      </w:pPr>
      <w:r>
        <w:rPr>
          <w:sz w:val="24"/>
        </w:rPr>
        <w:t xml:space="preserve">In the final rule, the </w:t>
      </w:r>
      <w:r>
        <w:rPr>
          <w:i/>
          <w:sz w:val="24"/>
        </w:rPr>
        <w:t>Patient Protection and Affordable Care Act; HHS Notice of Benefit and</w:t>
      </w:r>
      <w:r>
        <w:rPr>
          <w:i/>
          <w:sz w:val="24"/>
        </w:rPr>
        <w:t xml:space="preserve"> Payment Parameters for 2017 </w:t>
      </w:r>
      <w:r>
        <w:rPr>
          <w:sz w:val="24"/>
        </w:rPr>
        <w:t>(CMS-9937-P), we finalized network adequacy standards for qualified health plan (QHP)</w:t>
      </w:r>
      <w:r>
        <w:rPr>
          <w:spacing w:val="-2"/>
          <w:sz w:val="24"/>
        </w:rPr>
        <w:t xml:space="preserve"> </w:t>
      </w:r>
      <w:r>
        <w:rPr>
          <w:sz w:val="24"/>
        </w:rPr>
        <w:t>issuers, including</w:t>
      </w:r>
      <w:r>
        <w:rPr>
          <w:spacing w:val="-5"/>
          <w:sz w:val="24"/>
        </w:rPr>
        <w:t xml:space="preserve"> </w:t>
      </w:r>
      <w:r>
        <w:rPr>
          <w:sz w:val="24"/>
        </w:rPr>
        <w:t>stand-alone</w:t>
      </w:r>
      <w:r>
        <w:rPr>
          <w:spacing w:val="-2"/>
          <w:sz w:val="24"/>
        </w:rPr>
        <w:t xml:space="preserve"> </w:t>
      </w:r>
      <w:r>
        <w:rPr>
          <w:sz w:val="24"/>
        </w:rPr>
        <w:t>dental plans (SADPs)</w:t>
      </w:r>
      <w:r>
        <w:rPr>
          <w:spacing w:val="-2"/>
          <w:sz w:val="24"/>
        </w:rPr>
        <w:t xml:space="preserve"> </w:t>
      </w:r>
      <w:r>
        <w:rPr>
          <w:sz w:val="24"/>
        </w:rPr>
        <w:t>mostly</w:t>
      </w:r>
      <w:r>
        <w:rPr>
          <w:spacing w:val="-5"/>
          <w:sz w:val="24"/>
        </w:rPr>
        <w:t xml:space="preserve"> </w:t>
      </w:r>
      <w:r>
        <w:rPr>
          <w:sz w:val="24"/>
        </w:rPr>
        <w:t>focused on issuers</w:t>
      </w:r>
      <w:r>
        <w:rPr>
          <w:spacing w:val="-3"/>
          <w:sz w:val="24"/>
        </w:rPr>
        <w:t xml:space="preserve"> </w:t>
      </w:r>
      <w:r>
        <w:rPr>
          <w:sz w:val="24"/>
        </w:rPr>
        <w:t>in</w:t>
      </w:r>
      <w:r>
        <w:rPr>
          <w:spacing w:val="-3"/>
          <w:sz w:val="24"/>
        </w:rPr>
        <w:t xml:space="preserve"> </w:t>
      </w:r>
      <w:r>
        <w:rPr>
          <w:sz w:val="24"/>
        </w:rPr>
        <w:t>QHPs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Federally-facilitated</w:t>
      </w:r>
      <w:r>
        <w:rPr>
          <w:spacing w:val="-3"/>
          <w:sz w:val="24"/>
        </w:rPr>
        <w:t xml:space="preserve"> </w:t>
      </w:r>
      <w:r>
        <w:rPr>
          <w:sz w:val="24"/>
        </w:rPr>
        <w:t>Exchanges</w:t>
      </w:r>
      <w:r>
        <w:rPr>
          <w:spacing w:val="-3"/>
          <w:sz w:val="24"/>
        </w:rPr>
        <w:t xml:space="preserve"> </w:t>
      </w:r>
      <w:r>
        <w:rPr>
          <w:sz w:val="24"/>
        </w:rPr>
        <w:t>(FFEs).</w:t>
      </w:r>
      <w:r>
        <w:rPr>
          <w:spacing w:val="-3"/>
          <w:sz w:val="24"/>
        </w:rPr>
        <w:t xml:space="preserve"> </w:t>
      </w:r>
      <w:r>
        <w:rPr>
          <w:sz w:val="24"/>
        </w:rPr>
        <w:t>This</w:t>
      </w:r>
      <w:r>
        <w:rPr>
          <w:spacing w:val="-3"/>
          <w:sz w:val="24"/>
        </w:rPr>
        <w:t xml:space="preserve"> </w:t>
      </w:r>
      <w:r>
        <w:rPr>
          <w:sz w:val="24"/>
        </w:rPr>
        <w:t>information</w:t>
      </w:r>
      <w:r>
        <w:rPr>
          <w:spacing w:val="-4"/>
          <w:sz w:val="24"/>
        </w:rPr>
        <w:t xml:space="preserve"> </w:t>
      </w:r>
      <w:r>
        <w:rPr>
          <w:sz w:val="24"/>
        </w:rPr>
        <w:t>collection</w:t>
      </w:r>
      <w:r>
        <w:rPr>
          <w:spacing w:val="-3"/>
          <w:sz w:val="24"/>
        </w:rPr>
        <w:t xml:space="preserve"> </w:t>
      </w:r>
      <w:r>
        <w:rPr>
          <w:sz w:val="24"/>
        </w:rPr>
        <w:t>notice</w:t>
      </w:r>
      <w:r>
        <w:rPr>
          <w:spacing w:val="-4"/>
          <w:sz w:val="24"/>
        </w:rPr>
        <w:t xml:space="preserve"> </w:t>
      </w:r>
      <w:r>
        <w:rPr>
          <w:sz w:val="24"/>
        </w:rPr>
        <w:t>is for two of the standards from the rule: one applying in the FFE and one applying to all QHPs.</w:t>
      </w:r>
    </w:p>
    <w:p>
      <w:pPr>
        <w:pStyle w:val="BodyText"/>
        <w:spacing w:before="0"/>
        <w:ind w:right="229"/>
      </w:pPr>
      <w:r>
        <w:t>Specifically,</w:t>
      </w:r>
      <w:r>
        <w:rPr>
          <w:spacing w:val="-3"/>
        </w:rPr>
        <w:t xml:space="preserve"> </w:t>
      </w:r>
      <w:r>
        <w:t>under</w:t>
      </w:r>
      <w:r>
        <w:rPr>
          <w:spacing w:val="-4"/>
        </w:rPr>
        <w:t xml:space="preserve"> </w:t>
      </w:r>
      <w:r>
        <w:t>45</w:t>
      </w:r>
      <w:r>
        <w:rPr>
          <w:spacing w:val="-3"/>
        </w:rPr>
        <w:t xml:space="preserve"> </w:t>
      </w:r>
      <w:r>
        <w:t>CFR</w:t>
      </w:r>
      <w:r>
        <w:rPr>
          <w:spacing w:val="-3"/>
        </w:rPr>
        <w:t xml:space="preserve"> </w:t>
      </w:r>
      <w:r>
        <w:t>§156.230(d)</w:t>
      </w:r>
      <w:r>
        <w:rPr>
          <w:spacing w:val="-4"/>
        </w:rPr>
        <w:t xml:space="preserve"> </w:t>
      </w:r>
      <w:r>
        <w:t>and</w:t>
      </w:r>
      <w:r>
        <w:rPr>
          <w:spacing w:val="-3"/>
        </w:rPr>
        <w:t xml:space="preserve"> </w:t>
      </w:r>
      <w:r>
        <w:t>156.230(e),</w:t>
      </w:r>
      <w:r>
        <w:rPr>
          <w:spacing w:val="-3"/>
        </w:rPr>
        <w:t xml:space="preserve"> </w:t>
      </w:r>
      <w:r>
        <w:t>we</w:t>
      </w:r>
      <w:r>
        <w:rPr>
          <w:spacing w:val="-4"/>
        </w:rPr>
        <w:t xml:space="preserve"> </w:t>
      </w:r>
      <w:r>
        <w:t>require</w:t>
      </w:r>
      <w:r>
        <w:rPr>
          <w:spacing w:val="-4"/>
        </w:rPr>
        <w:t xml:space="preserve"> </w:t>
      </w:r>
      <w:r>
        <w:t>notification</w:t>
      </w:r>
      <w:r>
        <w:rPr>
          <w:spacing w:val="-3"/>
        </w:rPr>
        <w:t xml:space="preserve"> </w:t>
      </w:r>
      <w:r>
        <w:t>requirements</w:t>
      </w:r>
      <w:r>
        <w:rPr>
          <w:spacing w:val="-3"/>
        </w:rPr>
        <w:t xml:space="preserve"> </w:t>
      </w:r>
      <w:r>
        <w:t>for enrollees in cases where a provider leaves the network and for cases where an enrollee might be seen by an out of network ancillary provider in an in-network setting. These standards will help inform consumers about his or her health plan coverage to better make cost effective choices.</w:t>
      </w:r>
    </w:p>
    <w:p>
      <w:pPr>
        <w:pStyle w:val="BodyText"/>
        <w:spacing w:before="240"/>
        <w:ind w:right="229"/>
      </w:pPr>
      <w:r>
        <w:t>In</w:t>
      </w:r>
      <w:r>
        <w:rPr>
          <w:spacing w:val="-1"/>
        </w:rPr>
        <w:t xml:space="preserve"> </w:t>
      </w:r>
      <w:r>
        <w:t>the</w:t>
      </w:r>
      <w:r>
        <w:rPr>
          <w:spacing w:val="-2"/>
        </w:rPr>
        <w:t xml:space="preserve"> </w:t>
      </w:r>
      <w:r>
        <w:t>2027</w:t>
      </w:r>
      <w:r>
        <w:rPr>
          <w:spacing w:val="-1"/>
        </w:rPr>
        <w:t xml:space="preserve"> </w:t>
      </w:r>
      <w:r>
        <w:t>Payment</w:t>
      </w:r>
      <w:r>
        <w:rPr>
          <w:spacing w:val="-1"/>
        </w:rPr>
        <w:t xml:space="preserve"> </w:t>
      </w:r>
      <w:r>
        <w:t>Notice</w:t>
      </w:r>
      <w:r>
        <w:rPr>
          <w:spacing w:val="-2"/>
        </w:rPr>
        <w:t xml:space="preserve"> </w:t>
      </w:r>
      <w:r>
        <w:t>Proposed</w:t>
      </w:r>
      <w:r>
        <w:rPr>
          <w:spacing w:val="-1"/>
        </w:rPr>
        <w:t xml:space="preserve"> </w:t>
      </w:r>
      <w:r>
        <w:t>Rule,</w:t>
      </w:r>
      <w:r>
        <w:rPr>
          <w:spacing w:val="-1"/>
        </w:rPr>
        <w:t xml:space="preserve"> </w:t>
      </w:r>
      <w:r>
        <w:t>under 45</w:t>
      </w:r>
      <w:r>
        <w:rPr>
          <w:spacing w:val="-1"/>
        </w:rPr>
        <w:t xml:space="preserve"> </w:t>
      </w:r>
      <w:r>
        <w:t>CFR</w:t>
      </w:r>
      <w:r>
        <w:rPr>
          <w:spacing w:val="-1"/>
        </w:rPr>
        <w:t xml:space="preserve"> </w:t>
      </w:r>
      <w:r>
        <w:t>156.230(f)</w:t>
      </w:r>
      <w:r>
        <w:rPr>
          <w:spacing w:val="-2"/>
        </w:rPr>
        <w:t xml:space="preserve"> </w:t>
      </w:r>
      <w:r>
        <w:t>we</w:t>
      </w:r>
      <w:r>
        <w:rPr>
          <w:spacing w:val="-2"/>
        </w:rPr>
        <w:t xml:space="preserve"> </w:t>
      </w:r>
      <w:r>
        <w:t>propose</w:t>
      </w:r>
      <w:r>
        <w:rPr>
          <w:spacing w:val="-2"/>
        </w:rPr>
        <w:t xml:space="preserve"> </w:t>
      </w:r>
      <w:r>
        <w:t>an</w:t>
      </w:r>
      <w:r>
        <w:rPr>
          <w:spacing w:val="-1"/>
        </w:rPr>
        <w:t xml:space="preserve"> </w:t>
      </w:r>
      <w:r>
        <w:t>exception</w:t>
      </w:r>
      <w:r>
        <w:rPr>
          <w:spacing w:val="-1"/>
        </w:rPr>
        <w:t xml:space="preserve"> </w:t>
      </w:r>
      <w:r>
        <w:t>that paragraphs (a) through (e) of 156.230 do not apply to a plan for which an issuer seeks QHP certification,</w:t>
      </w:r>
      <w:r>
        <w:rPr>
          <w:spacing w:val="-3"/>
        </w:rPr>
        <w:t xml:space="preserve"> </w:t>
      </w:r>
      <w:r>
        <w:t>or</w:t>
      </w:r>
      <w:r>
        <w:rPr>
          <w:spacing w:val="-3"/>
        </w:rPr>
        <w:t xml:space="preserve"> </w:t>
      </w:r>
      <w:r>
        <w:t>to</w:t>
      </w:r>
      <w:r>
        <w:rPr>
          <w:spacing w:val="-3"/>
        </w:rPr>
        <w:t xml:space="preserve"> </w:t>
      </w:r>
      <w:r>
        <w:t>any</w:t>
      </w:r>
      <w:r>
        <w:rPr>
          <w:spacing w:val="-3"/>
        </w:rPr>
        <w:t xml:space="preserve"> </w:t>
      </w:r>
      <w:r>
        <w:t>certified</w:t>
      </w:r>
      <w:r>
        <w:rPr>
          <w:spacing w:val="-3"/>
        </w:rPr>
        <w:t xml:space="preserve"> </w:t>
      </w:r>
      <w:r>
        <w:t>QHP,</w:t>
      </w:r>
      <w:r>
        <w:rPr>
          <w:spacing w:val="-3"/>
        </w:rPr>
        <w:t xml:space="preserve"> </w:t>
      </w:r>
      <w:r>
        <w:t>that</w:t>
      </w:r>
      <w:r>
        <w:rPr>
          <w:spacing w:val="-3"/>
        </w:rPr>
        <w:t xml:space="preserve"> </w:t>
      </w:r>
      <w:r>
        <w:t>does</w:t>
      </w:r>
      <w:r>
        <w:rPr>
          <w:spacing w:val="-3"/>
        </w:rPr>
        <w:t xml:space="preserve"> </w:t>
      </w:r>
      <w:r>
        <w:t>not</w:t>
      </w:r>
      <w:r>
        <w:rPr>
          <w:spacing w:val="-3"/>
        </w:rPr>
        <w:t xml:space="preserve"> </w:t>
      </w:r>
      <w:r>
        <w:t>use</w:t>
      </w:r>
      <w:r>
        <w:rPr>
          <w:spacing w:val="-3"/>
        </w:rPr>
        <w:t xml:space="preserve"> </w:t>
      </w:r>
      <w:r>
        <w:t>a</w:t>
      </w:r>
      <w:r>
        <w:rPr>
          <w:spacing w:val="-3"/>
        </w:rPr>
        <w:t xml:space="preserve"> </w:t>
      </w:r>
      <w:r>
        <w:t>provider</w:t>
      </w:r>
      <w:r>
        <w:rPr>
          <w:spacing w:val="-3"/>
        </w:rPr>
        <w:t xml:space="preserve"> </w:t>
      </w:r>
      <w:r>
        <w:t>network,</w:t>
      </w:r>
      <w:r>
        <w:rPr>
          <w:spacing w:val="-1"/>
        </w:rPr>
        <w:t xml:space="preserve"> </w:t>
      </w:r>
      <w:r>
        <w:t>meaning</w:t>
      </w:r>
      <w:r>
        <w:rPr>
          <w:spacing w:val="-3"/>
        </w:rPr>
        <w:t xml:space="preserve"> </w:t>
      </w:r>
      <w:r>
        <w:t>that</w:t>
      </w:r>
      <w:r>
        <w:rPr>
          <w:spacing w:val="-3"/>
        </w:rPr>
        <w:t xml:space="preserve"> </w:t>
      </w:r>
      <w:r>
        <w:t>the</w:t>
      </w:r>
      <w:r>
        <w:rPr>
          <w:spacing w:val="-3"/>
        </w:rPr>
        <w:t xml:space="preserve"> </w:t>
      </w:r>
      <w:r>
        <w:t>plan</w:t>
      </w:r>
      <w:r>
        <w:rPr>
          <w:spacing w:val="-3"/>
        </w:rPr>
        <w:t xml:space="preserve"> </w:t>
      </w:r>
      <w:r>
        <w:t>or QHP does not condition or differentiate benefits based on whether the issuer has a network participation agreement with the provider that furnishes covered services.</w:t>
      </w:r>
    </w:p>
    <w:p>
      <w:pPr>
        <w:pStyle w:val="BodyText"/>
        <w:spacing w:before="240"/>
        <w:ind w:right="229"/>
      </w:pPr>
      <w:r>
        <w:t>The original approved information collection request (ICR) (OMB #: 0938-1302) was approved on 08/04/2016. The ICR was approved without change on 01/03/2020 and most recently approved without</w:t>
      </w:r>
      <w:r>
        <w:rPr>
          <w:spacing w:val="-3"/>
        </w:rPr>
        <w:t xml:space="preserve"> </w:t>
      </w:r>
      <w:r>
        <w:t>change</w:t>
      </w:r>
      <w:r>
        <w:rPr>
          <w:spacing w:val="-4"/>
        </w:rPr>
        <w:t xml:space="preserve"> </w:t>
      </w:r>
      <w:r>
        <w:t>on</w:t>
      </w:r>
      <w:r>
        <w:rPr>
          <w:spacing w:val="-3"/>
        </w:rPr>
        <w:t xml:space="preserve"> </w:t>
      </w:r>
      <w:r>
        <w:t>03/01/2023.</w:t>
      </w:r>
      <w:r>
        <w:rPr>
          <w:spacing w:val="-3"/>
        </w:rPr>
        <w:t xml:space="preserve"> </w:t>
      </w:r>
      <w:r>
        <w:t>This</w:t>
      </w:r>
      <w:r>
        <w:rPr>
          <w:spacing w:val="-3"/>
        </w:rPr>
        <w:t xml:space="preserve"> </w:t>
      </w:r>
      <w:r>
        <w:t>ICR</w:t>
      </w:r>
      <w:r>
        <w:rPr>
          <w:spacing w:val="-3"/>
        </w:rPr>
        <w:t xml:space="preserve"> </w:t>
      </w:r>
      <w:r>
        <w:t>serves</w:t>
      </w:r>
      <w:r>
        <w:rPr>
          <w:spacing w:val="-3"/>
        </w:rPr>
        <w:t xml:space="preserve"> </w:t>
      </w:r>
      <w:r>
        <w:t>as</w:t>
      </w:r>
      <w:r>
        <w:rPr>
          <w:spacing w:val="-1"/>
        </w:rPr>
        <w:t xml:space="preserve"> </w:t>
      </w:r>
      <w:r>
        <w:t>the</w:t>
      </w:r>
      <w:r>
        <w:rPr>
          <w:spacing w:val="-4"/>
        </w:rPr>
        <w:t xml:space="preserve"> </w:t>
      </w:r>
      <w:r>
        <w:t>formal</w:t>
      </w:r>
      <w:r>
        <w:rPr>
          <w:spacing w:val="-3"/>
        </w:rPr>
        <w:t xml:space="preserve"> </w:t>
      </w:r>
      <w:r>
        <w:t>request</w:t>
      </w:r>
      <w:r>
        <w:rPr>
          <w:spacing w:val="-3"/>
        </w:rPr>
        <w:t xml:space="preserve"> </w:t>
      </w:r>
      <w:r>
        <w:t>for</w:t>
      </w:r>
      <w:r>
        <w:rPr>
          <w:spacing w:val="-2"/>
        </w:rPr>
        <w:t xml:space="preserve"> </w:t>
      </w:r>
      <w:r>
        <w:t>an</w:t>
      </w:r>
      <w:r>
        <w:rPr>
          <w:spacing w:val="-1"/>
        </w:rPr>
        <w:t xml:space="preserve"> </w:t>
      </w:r>
      <w:r>
        <w:t>extension</w:t>
      </w:r>
      <w:r>
        <w:rPr>
          <w:spacing w:val="-3"/>
        </w:rPr>
        <w:t xml:space="preserve"> </w:t>
      </w:r>
      <w:r>
        <w:t>of</w:t>
      </w:r>
      <w:r>
        <w:rPr>
          <w:spacing w:val="-4"/>
        </w:rPr>
        <w:t xml:space="preserve"> </w:t>
      </w:r>
      <w:r>
        <w:t>a</w:t>
      </w:r>
      <w:r>
        <w:rPr>
          <w:spacing w:val="-4"/>
        </w:rPr>
        <w:t xml:space="preserve"> </w:t>
      </w:r>
      <w:r>
        <w:t>currently approved clearance.</w:t>
      </w:r>
    </w:p>
    <w:p>
      <w:pPr>
        <w:pStyle w:val="Heading2"/>
        <w:numPr>
          <w:ilvl w:val="0"/>
          <w:numId w:val="1"/>
        </w:numPr>
        <w:tabs>
          <w:tab w:val="left" w:pos="787"/>
        </w:tabs>
        <w:spacing w:before="240" w:after="0" w:line="240" w:lineRule="auto"/>
        <w:ind w:left="787" w:right="0" w:hanging="547"/>
        <w:jc w:val="left"/>
      </w:pPr>
      <w:bookmarkStart w:id="2" w:name="B. Justification "/>
      <w:bookmarkEnd w:id="2"/>
      <w:r>
        <w:rPr>
          <w:spacing w:val="-2"/>
        </w:rPr>
        <w:t>Justification</w:t>
      </w:r>
    </w:p>
    <w:p>
      <w:pPr>
        <w:pStyle w:val="ListParagraph"/>
        <w:numPr>
          <w:ilvl w:val="1"/>
          <w:numId w:val="1"/>
        </w:numPr>
        <w:tabs>
          <w:tab w:val="left" w:pos="787"/>
        </w:tabs>
        <w:spacing w:before="219" w:after="0" w:line="240" w:lineRule="auto"/>
        <w:ind w:left="787" w:right="0" w:hanging="547"/>
        <w:jc w:val="left"/>
        <w:rPr>
          <w:i/>
          <w:sz w:val="24"/>
        </w:rPr>
      </w:pPr>
      <w:bookmarkStart w:id="3" w:name="1. Need and Legal Basis "/>
      <w:bookmarkEnd w:id="3"/>
      <w:r>
        <w:rPr>
          <w:i/>
          <w:sz w:val="24"/>
        </w:rPr>
        <w:t>Need</w:t>
      </w:r>
      <w:r>
        <w:rPr>
          <w:i/>
          <w:spacing w:val="-3"/>
          <w:sz w:val="24"/>
        </w:rPr>
        <w:t xml:space="preserve"> </w:t>
      </w:r>
      <w:r>
        <w:rPr>
          <w:i/>
          <w:sz w:val="24"/>
        </w:rPr>
        <w:t>and</w:t>
      </w:r>
      <w:r>
        <w:rPr>
          <w:i/>
          <w:spacing w:val="-1"/>
          <w:sz w:val="24"/>
        </w:rPr>
        <w:t xml:space="preserve"> </w:t>
      </w:r>
      <w:r>
        <w:rPr>
          <w:i/>
          <w:sz w:val="24"/>
        </w:rPr>
        <w:t>Legal</w:t>
      </w:r>
      <w:r>
        <w:rPr>
          <w:i/>
          <w:spacing w:val="-1"/>
          <w:sz w:val="24"/>
        </w:rPr>
        <w:t xml:space="preserve"> </w:t>
      </w:r>
      <w:r>
        <w:rPr>
          <w:i/>
          <w:spacing w:val="-2"/>
          <w:sz w:val="24"/>
        </w:rPr>
        <w:t>Basis</w:t>
      </w:r>
    </w:p>
    <w:p>
      <w:pPr>
        <w:pStyle w:val="BodyText"/>
        <w:ind w:left="240" w:right="229"/>
      </w:pPr>
      <w:r>
        <w:t>Under 45 CFR §156.230(d), a QHP issuer in an FFE who uses a provider network must make a good faith effort to provide written notice of discontinuation of a provider 30 days prior to the effective</w:t>
      </w:r>
      <w:r>
        <w:rPr>
          <w:spacing w:val="-3"/>
        </w:rPr>
        <w:t xml:space="preserve"> </w:t>
      </w:r>
      <w:r>
        <w:t>date</w:t>
      </w:r>
      <w:r>
        <w:rPr>
          <w:spacing w:val="-3"/>
        </w:rPr>
        <w:t xml:space="preserve"> </w:t>
      </w:r>
      <w:r>
        <w:t>of</w:t>
      </w:r>
      <w:r>
        <w:rPr>
          <w:spacing w:val="-3"/>
        </w:rPr>
        <w:t xml:space="preserve"> </w:t>
      </w:r>
      <w:r>
        <w:t>the change</w:t>
      </w:r>
      <w:r>
        <w:rPr>
          <w:spacing w:val="-3"/>
        </w:rPr>
        <w:t xml:space="preserve"> </w:t>
      </w:r>
      <w:r>
        <w:t>or otherwise as soon as practicable, to enrollees who are patients seen on</w:t>
      </w:r>
      <w:r>
        <w:rPr>
          <w:spacing w:val="-2"/>
        </w:rPr>
        <w:t xml:space="preserve"> </w:t>
      </w:r>
      <w:r>
        <w:t>a</w:t>
      </w:r>
      <w:r>
        <w:rPr>
          <w:spacing w:val="-3"/>
        </w:rPr>
        <w:t xml:space="preserve"> </w:t>
      </w:r>
      <w:r>
        <w:t>regular</w:t>
      </w:r>
      <w:r>
        <w:rPr>
          <w:spacing w:val="-3"/>
        </w:rPr>
        <w:t xml:space="preserve"> </w:t>
      </w:r>
      <w:r>
        <w:t>basis</w:t>
      </w:r>
      <w:r>
        <w:rPr>
          <w:spacing w:val="-2"/>
        </w:rPr>
        <w:t xml:space="preserve"> </w:t>
      </w:r>
      <w:r>
        <w:t>by</w:t>
      </w:r>
      <w:r>
        <w:rPr>
          <w:spacing w:val="-2"/>
        </w:rPr>
        <w:t xml:space="preserve"> </w:t>
      </w:r>
      <w:r>
        <w:t>the</w:t>
      </w:r>
      <w:r>
        <w:rPr>
          <w:spacing w:val="-2"/>
        </w:rPr>
        <w:t xml:space="preserve"> </w:t>
      </w:r>
      <w:r>
        <w:t>provider</w:t>
      </w:r>
      <w:r>
        <w:rPr>
          <w:spacing w:val="-3"/>
        </w:rPr>
        <w:t xml:space="preserve"> </w:t>
      </w:r>
      <w:r>
        <w:t>or</w:t>
      </w:r>
      <w:r>
        <w:rPr>
          <w:spacing w:val="-3"/>
        </w:rPr>
        <w:t xml:space="preserve"> </w:t>
      </w:r>
      <w:r>
        <w:t>who</w:t>
      </w:r>
      <w:r>
        <w:rPr>
          <w:spacing w:val="-1"/>
        </w:rPr>
        <w:t xml:space="preserve"> </w:t>
      </w:r>
      <w:r>
        <w:t>receive</w:t>
      </w:r>
      <w:r>
        <w:rPr>
          <w:spacing w:val="-2"/>
        </w:rPr>
        <w:t xml:space="preserve"> </w:t>
      </w:r>
      <w:r>
        <w:t>primary</w:t>
      </w:r>
      <w:r>
        <w:rPr>
          <w:spacing w:val="-2"/>
        </w:rPr>
        <w:t xml:space="preserve"> </w:t>
      </w:r>
      <w:r>
        <w:t>care</w:t>
      </w:r>
      <w:r>
        <w:rPr>
          <w:spacing w:val="-3"/>
        </w:rPr>
        <w:t xml:space="preserve"> </w:t>
      </w:r>
      <w:r>
        <w:t>from</w:t>
      </w:r>
      <w:r>
        <w:rPr>
          <w:spacing w:val="-2"/>
        </w:rPr>
        <w:t xml:space="preserve"> </w:t>
      </w:r>
      <w:r>
        <w:t>the</w:t>
      </w:r>
      <w:r>
        <w:rPr>
          <w:spacing w:val="-3"/>
        </w:rPr>
        <w:t xml:space="preserve"> </w:t>
      </w:r>
      <w:r>
        <w:t>provider</w:t>
      </w:r>
      <w:r>
        <w:rPr>
          <w:spacing w:val="-3"/>
        </w:rPr>
        <w:t xml:space="preserve"> </w:t>
      </w:r>
      <w:r>
        <w:t>whose</w:t>
      </w:r>
      <w:r>
        <w:rPr>
          <w:spacing w:val="-3"/>
        </w:rPr>
        <w:t xml:space="preserve"> </w:t>
      </w:r>
      <w:r>
        <w:t>contract</w:t>
      </w:r>
      <w:r>
        <w:rPr>
          <w:spacing w:val="-2"/>
        </w:rPr>
        <w:t xml:space="preserve"> </w:t>
      </w:r>
      <w:r>
        <w:t>is discontinuing, irrespective of whether the contract is being discontinued due to a termination for cause or without cause, or due to a non-renewal. In cases where a provider is terminated without cause, a QHP issuer in an FFE who uses a provider network must allow an enrollee in an active</w:t>
      </w:r>
    </w:p>
    <w:p>
      <w:pPr>
        <w:pStyle w:val="BodyText"/>
        <w:spacing w:after="0"/>
        <w:sectPr>
          <w:footerReference w:type="default" r:id="rId4"/>
          <w:type w:val="continuous"/>
          <w:pgSz w:w="12240" w:h="15840"/>
          <w:pgMar w:top="1640" w:right="1080" w:bottom="1380" w:left="1080" w:header="0" w:footer="1183"/>
          <w:pgNumType w:start="1"/>
          <w:cols w:space="720"/>
        </w:sectPr>
      </w:pPr>
    </w:p>
    <w:p>
      <w:pPr>
        <w:pStyle w:val="BodyText"/>
        <w:spacing w:before="78"/>
        <w:ind w:left="240" w:right="299"/>
      </w:pPr>
      <w:r>
        <w:t>course</w:t>
      </w:r>
      <w:r>
        <w:rPr>
          <w:spacing w:val="-4"/>
        </w:rPr>
        <w:t xml:space="preserve"> </w:t>
      </w:r>
      <w:r>
        <w:t>of</w:t>
      </w:r>
      <w:r>
        <w:rPr>
          <w:spacing w:val="-4"/>
        </w:rPr>
        <w:t xml:space="preserve"> </w:t>
      </w:r>
      <w:r>
        <w:t>treatment</w:t>
      </w:r>
      <w:r>
        <w:rPr>
          <w:spacing w:val="-3"/>
        </w:rPr>
        <w:t xml:space="preserve"> </w:t>
      </w:r>
      <w:r>
        <w:t>to</w:t>
      </w:r>
      <w:r>
        <w:rPr>
          <w:spacing w:val="-3"/>
        </w:rPr>
        <w:t xml:space="preserve"> </w:t>
      </w:r>
      <w:r>
        <w:t>continue</w:t>
      </w:r>
      <w:r>
        <w:rPr>
          <w:spacing w:val="-4"/>
        </w:rPr>
        <w:t xml:space="preserve"> </w:t>
      </w:r>
      <w:r>
        <w:t>treatment</w:t>
      </w:r>
      <w:r>
        <w:rPr>
          <w:spacing w:val="-3"/>
        </w:rPr>
        <w:t xml:space="preserve"> </w:t>
      </w:r>
      <w:r>
        <w:t>until</w:t>
      </w:r>
      <w:r>
        <w:rPr>
          <w:spacing w:val="-3"/>
        </w:rPr>
        <w:t xml:space="preserve"> </w:t>
      </w:r>
      <w:r>
        <w:t>the</w:t>
      </w:r>
      <w:r>
        <w:rPr>
          <w:spacing w:val="-4"/>
        </w:rPr>
        <w:t xml:space="preserve"> </w:t>
      </w:r>
      <w:r>
        <w:t>treatment</w:t>
      </w:r>
      <w:r>
        <w:rPr>
          <w:spacing w:val="-3"/>
        </w:rPr>
        <w:t xml:space="preserve"> </w:t>
      </w:r>
      <w:r>
        <w:t>is</w:t>
      </w:r>
      <w:r>
        <w:rPr>
          <w:spacing w:val="-3"/>
        </w:rPr>
        <w:t xml:space="preserve"> </w:t>
      </w:r>
      <w:r>
        <w:t>complete</w:t>
      </w:r>
      <w:r>
        <w:rPr>
          <w:spacing w:val="-4"/>
        </w:rPr>
        <w:t xml:space="preserve"> </w:t>
      </w:r>
      <w:r>
        <w:t>or</w:t>
      </w:r>
      <w:r>
        <w:rPr>
          <w:spacing w:val="-2"/>
        </w:rPr>
        <w:t xml:space="preserve"> </w:t>
      </w:r>
      <w:r>
        <w:t>for</w:t>
      </w:r>
      <w:r>
        <w:rPr>
          <w:spacing w:val="-4"/>
        </w:rPr>
        <w:t xml:space="preserve"> </w:t>
      </w:r>
      <w:r>
        <w:t>90</w:t>
      </w:r>
      <w:r>
        <w:rPr>
          <w:spacing w:val="-3"/>
        </w:rPr>
        <w:t xml:space="preserve"> </w:t>
      </w:r>
      <w:r>
        <w:t>days,</w:t>
      </w:r>
      <w:r>
        <w:rPr>
          <w:spacing w:val="-3"/>
        </w:rPr>
        <w:t xml:space="preserve"> </w:t>
      </w:r>
      <w:r>
        <w:t>whichever is shorter, at in-network cost sharing rates.</w:t>
      </w:r>
    </w:p>
    <w:p>
      <w:pPr>
        <w:pStyle w:val="BodyText"/>
        <w:spacing w:before="240"/>
        <w:ind w:left="240" w:right="229"/>
      </w:pPr>
      <w:r>
        <w:t>Under 45 CFR §156.230(e), beginning for the 2018 and later benefit years, for a network to be deemed</w:t>
      </w:r>
      <w:r>
        <w:rPr>
          <w:spacing w:val="-4"/>
        </w:rPr>
        <w:t xml:space="preserve"> </w:t>
      </w:r>
      <w:r>
        <w:t>adequate,</w:t>
      </w:r>
      <w:r>
        <w:rPr>
          <w:spacing w:val="-2"/>
        </w:rPr>
        <w:t xml:space="preserve"> </w:t>
      </w:r>
      <w:r>
        <w:t>each</w:t>
      </w:r>
      <w:r>
        <w:rPr>
          <w:spacing w:val="-2"/>
        </w:rPr>
        <w:t xml:space="preserve"> </w:t>
      </w:r>
      <w:r>
        <w:t>QHP</w:t>
      </w:r>
      <w:r>
        <w:rPr>
          <w:spacing w:val="-4"/>
        </w:rPr>
        <w:t xml:space="preserve"> </w:t>
      </w:r>
      <w:r>
        <w:t>issuer</w:t>
      </w:r>
      <w:r>
        <w:rPr>
          <w:spacing w:val="-4"/>
        </w:rPr>
        <w:t xml:space="preserve"> </w:t>
      </w:r>
      <w:r>
        <w:t>who</w:t>
      </w:r>
      <w:r>
        <w:rPr>
          <w:spacing w:val="-4"/>
        </w:rPr>
        <w:t xml:space="preserve"> </w:t>
      </w:r>
      <w:r>
        <w:t>uses</w:t>
      </w:r>
      <w:r>
        <w:rPr>
          <w:spacing w:val="-4"/>
        </w:rPr>
        <w:t xml:space="preserve"> </w:t>
      </w:r>
      <w:r>
        <w:t>a</w:t>
      </w:r>
      <w:r>
        <w:rPr>
          <w:spacing w:val="-4"/>
        </w:rPr>
        <w:t xml:space="preserve"> </w:t>
      </w:r>
      <w:r>
        <w:t>provider</w:t>
      </w:r>
      <w:r>
        <w:rPr>
          <w:spacing w:val="-4"/>
        </w:rPr>
        <w:t xml:space="preserve"> </w:t>
      </w:r>
      <w:r>
        <w:t>network</w:t>
      </w:r>
      <w:r>
        <w:rPr>
          <w:spacing w:val="-4"/>
        </w:rPr>
        <w:t xml:space="preserve"> </w:t>
      </w:r>
      <w:r>
        <w:t>must,</w:t>
      </w:r>
      <w:r>
        <w:rPr>
          <w:spacing w:val="-4"/>
        </w:rPr>
        <w:t xml:space="preserve"> </w:t>
      </w:r>
      <w:r>
        <w:t>notwithstanding</w:t>
      </w:r>
      <w:r>
        <w:rPr>
          <w:spacing w:val="-4"/>
        </w:rPr>
        <w:t xml:space="preserve"> </w:t>
      </w:r>
      <w:r>
        <w:t>45</w:t>
      </w:r>
      <w:r>
        <w:rPr>
          <w:spacing w:val="-4"/>
        </w:rPr>
        <w:t xml:space="preserve"> </w:t>
      </w:r>
      <w:r>
        <w:t>CFR</w:t>
      </w:r>
    </w:p>
    <w:p>
      <w:pPr>
        <w:pStyle w:val="BodyText"/>
        <w:spacing w:before="0"/>
        <w:ind w:left="240" w:right="299"/>
      </w:pPr>
      <w:r>
        <w:t>§156.130(c), count the cost sharing paid by an enrollee for an out-of-network essential health benefit (EHB) provided by an out-of-network ancillary provider in an in-network setting towards the</w:t>
      </w:r>
      <w:r>
        <w:rPr>
          <w:spacing w:val="-3"/>
        </w:rPr>
        <w:t xml:space="preserve"> </w:t>
      </w:r>
      <w:r>
        <w:t>enrollee’s</w:t>
      </w:r>
      <w:r>
        <w:rPr>
          <w:spacing w:val="-2"/>
        </w:rPr>
        <w:t xml:space="preserve"> </w:t>
      </w:r>
      <w:r>
        <w:t>annual</w:t>
      </w:r>
      <w:r>
        <w:rPr>
          <w:spacing w:val="-2"/>
        </w:rPr>
        <w:t xml:space="preserve"> </w:t>
      </w:r>
      <w:r>
        <w:t>limitation</w:t>
      </w:r>
      <w:r>
        <w:rPr>
          <w:spacing w:val="-2"/>
        </w:rPr>
        <w:t xml:space="preserve"> </w:t>
      </w:r>
      <w:r>
        <w:t>on</w:t>
      </w:r>
      <w:r>
        <w:rPr>
          <w:spacing w:val="-2"/>
        </w:rPr>
        <w:t xml:space="preserve"> </w:t>
      </w:r>
      <w:r>
        <w:t>cost</w:t>
      </w:r>
      <w:r>
        <w:rPr>
          <w:spacing w:val="-2"/>
        </w:rPr>
        <w:t xml:space="preserve"> </w:t>
      </w:r>
      <w:r>
        <w:t>sharing</w:t>
      </w:r>
      <w:r>
        <w:rPr>
          <w:spacing w:val="-2"/>
        </w:rPr>
        <w:t xml:space="preserve"> </w:t>
      </w:r>
      <w:r>
        <w:t>or</w:t>
      </w:r>
      <w:r>
        <w:rPr>
          <w:spacing w:val="-1"/>
        </w:rPr>
        <w:t xml:space="preserve"> </w:t>
      </w:r>
      <w:r>
        <w:t>provide</w:t>
      </w:r>
      <w:r>
        <w:rPr>
          <w:spacing w:val="-3"/>
        </w:rPr>
        <w:t xml:space="preserve"> </w:t>
      </w:r>
      <w:r>
        <w:t>a</w:t>
      </w:r>
      <w:r>
        <w:rPr>
          <w:spacing w:val="-3"/>
        </w:rPr>
        <w:t xml:space="preserve"> </w:t>
      </w:r>
      <w:r>
        <w:t>notice</w:t>
      </w:r>
      <w:r>
        <w:rPr>
          <w:spacing w:val="-3"/>
        </w:rPr>
        <w:t xml:space="preserve"> </w:t>
      </w:r>
      <w:r>
        <w:t>to</w:t>
      </w:r>
      <w:r>
        <w:rPr>
          <w:spacing w:val="-2"/>
        </w:rPr>
        <w:t xml:space="preserve"> </w:t>
      </w:r>
      <w:r>
        <w:t>the</w:t>
      </w:r>
      <w:r>
        <w:rPr>
          <w:spacing w:val="-1"/>
        </w:rPr>
        <w:t xml:space="preserve"> </w:t>
      </w:r>
      <w:r>
        <w:t>enrollee</w:t>
      </w:r>
      <w:r>
        <w:rPr>
          <w:spacing w:val="-3"/>
        </w:rPr>
        <w:t xml:space="preserve"> </w:t>
      </w:r>
      <w:r>
        <w:t>by</w:t>
      </w:r>
      <w:r>
        <w:rPr>
          <w:spacing w:val="-10"/>
        </w:rPr>
        <w:t xml:space="preserve"> </w:t>
      </w:r>
      <w:r>
        <w:t>the</w:t>
      </w:r>
      <w:r>
        <w:rPr>
          <w:spacing w:val="-3"/>
        </w:rPr>
        <w:t xml:space="preserve"> </w:t>
      </w:r>
      <w:r>
        <w:t>longer</w:t>
      </w:r>
      <w:r>
        <w:rPr>
          <w:spacing w:val="-3"/>
        </w:rPr>
        <w:t xml:space="preserve"> </w:t>
      </w:r>
      <w:r>
        <w:t>of when the issuer would typically respond to a prior authorization request timely submitted, or</w:t>
      </w:r>
    </w:p>
    <w:p>
      <w:pPr>
        <w:pStyle w:val="BodyText"/>
        <w:spacing w:before="0"/>
        <w:ind w:right="332"/>
      </w:pPr>
      <w:r>
        <w:t>48 hours before the provision of the benefit, that additional costs may be incurred for an EHB provided by</w:t>
      </w:r>
      <w:r>
        <w:rPr>
          <w:spacing w:val="-4"/>
        </w:rPr>
        <w:t xml:space="preserve"> </w:t>
      </w:r>
      <w:r>
        <w:t>an out-of- network ancillary provider in an in-network setting, including balance billing</w:t>
      </w:r>
      <w:r>
        <w:rPr>
          <w:spacing w:val="-3"/>
        </w:rPr>
        <w:t xml:space="preserve"> </w:t>
      </w:r>
      <w:r>
        <w:t>charges,</w:t>
      </w:r>
      <w:r>
        <w:rPr>
          <w:spacing w:val="-3"/>
        </w:rPr>
        <w:t xml:space="preserve"> </w:t>
      </w:r>
      <w:r>
        <w:t>unless</w:t>
      </w:r>
      <w:r>
        <w:rPr>
          <w:spacing w:val="-3"/>
        </w:rPr>
        <w:t xml:space="preserve"> </w:t>
      </w:r>
      <w:r>
        <w:t>such</w:t>
      </w:r>
      <w:r>
        <w:rPr>
          <w:spacing w:val="-3"/>
        </w:rPr>
        <w:t xml:space="preserve"> </w:t>
      </w:r>
      <w:r>
        <w:t>costs</w:t>
      </w:r>
      <w:r>
        <w:rPr>
          <w:spacing w:val="-3"/>
        </w:rPr>
        <w:t xml:space="preserve"> </w:t>
      </w:r>
      <w:r>
        <w:t>are</w:t>
      </w:r>
      <w:r>
        <w:rPr>
          <w:spacing w:val="-4"/>
        </w:rPr>
        <w:t xml:space="preserve"> </w:t>
      </w:r>
      <w:r>
        <w:t>prohibited</w:t>
      </w:r>
      <w:r>
        <w:rPr>
          <w:spacing w:val="-11"/>
        </w:rPr>
        <w:t xml:space="preserve"> </w:t>
      </w:r>
      <w:r>
        <w:t>under</w:t>
      </w:r>
      <w:r>
        <w:rPr>
          <w:spacing w:val="-14"/>
        </w:rPr>
        <w:t xml:space="preserve"> </w:t>
      </w:r>
      <w:r>
        <w:t>State</w:t>
      </w:r>
      <w:r>
        <w:rPr>
          <w:spacing w:val="-14"/>
        </w:rPr>
        <w:t xml:space="preserve"> </w:t>
      </w:r>
      <w:r>
        <w:t>law,</w:t>
      </w:r>
      <w:r>
        <w:rPr>
          <w:spacing w:val="-11"/>
        </w:rPr>
        <w:t xml:space="preserve"> </w:t>
      </w:r>
      <w:r>
        <w:t>and</w:t>
      </w:r>
      <w:r>
        <w:rPr>
          <w:spacing w:val="-8"/>
        </w:rPr>
        <w:t xml:space="preserve"> </w:t>
      </w:r>
      <w:r>
        <w:t>that</w:t>
      </w:r>
      <w:r>
        <w:rPr>
          <w:spacing w:val="-8"/>
        </w:rPr>
        <w:t xml:space="preserve"> </w:t>
      </w:r>
      <w:r>
        <w:t>any</w:t>
      </w:r>
      <w:r>
        <w:rPr>
          <w:spacing w:val="-15"/>
        </w:rPr>
        <w:t xml:space="preserve"> </w:t>
      </w:r>
      <w:r>
        <w:t>additional</w:t>
      </w:r>
      <w:r>
        <w:rPr>
          <w:spacing w:val="-8"/>
        </w:rPr>
        <w:t xml:space="preserve"> </w:t>
      </w:r>
      <w:r>
        <w:t>charges may</w:t>
      </w:r>
      <w:r>
        <w:rPr>
          <w:spacing w:val="-4"/>
        </w:rPr>
        <w:t xml:space="preserve"> </w:t>
      </w:r>
      <w:r>
        <w:t>not count toward the in-network annual limitation on cost sharing.</w:t>
      </w:r>
    </w:p>
    <w:p>
      <w:pPr>
        <w:pStyle w:val="BodyText"/>
        <w:spacing w:before="240"/>
        <w:ind w:right="299"/>
      </w:pPr>
      <w:r>
        <w:t>Under the No Surprises Act section 113 (H.R. 133, Public Law 116-260), Internal Revenue Code section 9818(a), and PHS Act section 2799A-3, in the case of an individual with benefits under a group health plan and with respect to a health care provider or facility that has a contractual relationship with such plan for furnishing items and services under such plan, if, while such individual</w:t>
      </w:r>
      <w:r>
        <w:rPr>
          <w:spacing w:val="-5"/>
        </w:rPr>
        <w:t xml:space="preserve"> </w:t>
      </w:r>
      <w:r>
        <w:t>is</w:t>
      </w:r>
      <w:r>
        <w:rPr>
          <w:spacing w:val="-5"/>
        </w:rPr>
        <w:t xml:space="preserve"> </w:t>
      </w:r>
      <w:r>
        <w:t>a</w:t>
      </w:r>
      <w:r>
        <w:rPr>
          <w:spacing w:val="-6"/>
        </w:rPr>
        <w:t xml:space="preserve"> </w:t>
      </w:r>
      <w:r>
        <w:t>continuing</w:t>
      </w:r>
      <w:r>
        <w:rPr>
          <w:spacing w:val="-10"/>
        </w:rPr>
        <w:t xml:space="preserve"> </w:t>
      </w:r>
      <w:r>
        <w:t>care</w:t>
      </w:r>
      <w:r>
        <w:rPr>
          <w:spacing w:val="-6"/>
        </w:rPr>
        <w:t xml:space="preserve"> </w:t>
      </w:r>
      <w:r>
        <w:t>patient</w:t>
      </w:r>
      <w:r>
        <w:rPr>
          <w:spacing w:val="-4"/>
        </w:rPr>
        <w:t xml:space="preserve"> </w:t>
      </w:r>
      <w:r>
        <w:t>(as</w:t>
      </w:r>
      <w:r>
        <w:rPr>
          <w:spacing w:val="-5"/>
        </w:rPr>
        <w:t xml:space="preserve"> </w:t>
      </w:r>
      <w:r>
        <w:t>defined</w:t>
      </w:r>
      <w:r>
        <w:rPr>
          <w:spacing w:val="-5"/>
        </w:rPr>
        <w:t xml:space="preserve"> </w:t>
      </w:r>
      <w:r>
        <w:t>in</w:t>
      </w:r>
      <w:r>
        <w:rPr>
          <w:spacing w:val="-5"/>
        </w:rPr>
        <w:t xml:space="preserve"> </w:t>
      </w:r>
      <w:r>
        <w:t>subsection</w:t>
      </w:r>
      <w:r>
        <w:rPr>
          <w:spacing w:val="-5"/>
        </w:rPr>
        <w:t xml:space="preserve"> </w:t>
      </w:r>
      <w:r>
        <w:t>(b))</w:t>
      </w:r>
      <w:r>
        <w:rPr>
          <w:spacing w:val="-6"/>
        </w:rPr>
        <w:t xml:space="preserve"> </w:t>
      </w:r>
      <w:r>
        <w:t>with</w:t>
      </w:r>
      <w:r>
        <w:rPr>
          <w:spacing w:val="-5"/>
        </w:rPr>
        <w:t xml:space="preserve"> </w:t>
      </w:r>
      <w:r>
        <w:t>respect</w:t>
      </w:r>
      <w:r>
        <w:rPr>
          <w:spacing w:val="-4"/>
        </w:rPr>
        <w:t xml:space="preserve"> </w:t>
      </w:r>
      <w:r>
        <w:t>to</w:t>
      </w:r>
      <w:r>
        <w:rPr>
          <w:spacing w:val="-5"/>
        </w:rPr>
        <w:t xml:space="preserve"> </w:t>
      </w:r>
      <w:r>
        <w:t>such</w:t>
      </w:r>
      <w:r>
        <w:rPr>
          <w:spacing w:val="-5"/>
        </w:rPr>
        <w:t xml:space="preserve"> </w:t>
      </w:r>
      <w:r>
        <w:t>provider</w:t>
      </w:r>
      <w:r>
        <w:rPr>
          <w:spacing w:val="-3"/>
        </w:rPr>
        <w:t xml:space="preserve"> </w:t>
      </w:r>
      <w:r>
        <w:t>or facility—the plan or issuer must notify each individual enrolled under such plan who is a continuing care patient with respect to a provider or facility at the time of a termination affecting such provider on a timely basis of such termination and such individual’s right to elect continued transitional care from such provider or facility under this section. The plan must also provide such individual with an opportunity to notify the plan of the individual’s need for transitional care.</w:t>
      </w:r>
    </w:p>
    <w:p>
      <w:pPr>
        <w:pStyle w:val="ListParagraph"/>
        <w:numPr>
          <w:ilvl w:val="1"/>
          <w:numId w:val="1"/>
        </w:numPr>
        <w:tabs>
          <w:tab w:val="left" w:pos="787"/>
        </w:tabs>
        <w:spacing w:before="241" w:after="0" w:line="240" w:lineRule="auto"/>
        <w:ind w:left="787" w:right="0" w:hanging="548"/>
        <w:jc w:val="left"/>
        <w:rPr>
          <w:i/>
          <w:sz w:val="24"/>
        </w:rPr>
      </w:pPr>
      <w:bookmarkStart w:id="4" w:name="2. Information Users "/>
      <w:bookmarkEnd w:id="4"/>
      <w:r>
        <w:rPr>
          <w:i/>
          <w:spacing w:val="-2"/>
          <w:sz w:val="24"/>
        </w:rPr>
        <w:t>Information</w:t>
      </w:r>
      <w:r>
        <w:rPr>
          <w:i/>
          <w:spacing w:val="6"/>
          <w:sz w:val="24"/>
        </w:rPr>
        <w:t xml:space="preserve"> </w:t>
      </w:r>
      <w:r>
        <w:rPr>
          <w:i/>
          <w:spacing w:val="-4"/>
          <w:sz w:val="24"/>
        </w:rPr>
        <w:t>Users</w:t>
      </w:r>
    </w:p>
    <w:p>
      <w:pPr>
        <w:pStyle w:val="BodyText"/>
        <w:ind w:right="299"/>
      </w:pPr>
      <w:r>
        <w:t>The notifications that the QHP issuers that use a provider network will be required to send under this</w:t>
      </w:r>
      <w:r>
        <w:rPr>
          <w:spacing w:val="-3"/>
        </w:rPr>
        <w:t xml:space="preserve"> </w:t>
      </w:r>
      <w:r>
        <w:t>information</w:t>
      </w:r>
      <w:r>
        <w:rPr>
          <w:spacing w:val="-3"/>
        </w:rPr>
        <w:t xml:space="preserve"> </w:t>
      </w:r>
      <w:r>
        <w:t>collection</w:t>
      </w:r>
      <w:r>
        <w:rPr>
          <w:spacing w:val="-3"/>
        </w:rPr>
        <w:t xml:space="preserve"> </w:t>
      </w:r>
      <w:r>
        <w:t>will</w:t>
      </w:r>
      <w:r>
        <w:rPr>
          <w:spacing w:val="-8"/>
        </w:rPr>
        <w:t xml:space="preserve"> </w:t>
      </w:r>
      <w:r>
        <w:t>be</w:t>
      </w:r>
      <w:r>
        <w:rPr>
          <w:spacing w:val="-11"/>
        </w:rPr>
        <w:t xml:space="preserve"> </w:t>
      </w:r>
      <w:r>
        <w:t>sent</w:t>
      </w:r>
      <w:r>
        <w:rPr>
          <w:spacing w:val="-8"/>
        </w:rPr>
        <w:t xml:space="preserve"> </w:t>
      </w:r>
      <w:r>
        <w:t>to</w:t>
      </w:r>
      <w:r>
        <w:rPr>
          <w:spacing w:val="-8"/>
        </w:rPr>
        <w:t xml:space="preserve"> </w:t>
      </w:r>
      <w:r>
        <w:t>the</w:t>
      </w:r>
      <w:r>
        <w:rPr>
          <w:spacing w:val="-9"/>
        </w:rPr>
        <w:t xml:space="preserve"> </w:t>
      </w:r>
      <w:r>
        <w:t>QHP</w:t>
      </w:r>
      <w:r>
        <w:rPr>
          <w:spacing w:val="-5"/>
        </w:rPr>
        <w:t xml:space="preserve"> </w:t>
      </w:r>
      <w:r>
        <w:t>issuers’</w:t>
      </w:r>
      <w:r>
        <w:rPr>
          <w:spacing w:val="-9"/>
        </w:rPr>
        <w:t xml:space="preserve"> </w:t>
      </w:r>
      <w:r>
        <w:t>enrollees</w:t>
      </w:r>
      <w:r>
        <w:rPr>
          <w:spacing w:val="-3"/>
        </w:rPr>
        <w:t xml:space="preserve"> </w:t>
      </w:r>
      <w:r>
        <w:t>who</w:t>
      </w:r>
      <w:r>
        <w:rPr>
          <w:spacing w:val="-8"/>
        </w:rPr>
        <w:t xml:space="preserve"> </w:t>
      </w:r>
      <w:r>
        <w:t>are</w:t>
      </w:r>
      <w:r>
        <w:rPr>
          <w:spacing w:val="-7"/>
        </w:rPr>
        <w:t xml:space="preserve"> </w:t>
      </w:r>
      <w:r>
        <w:t>affected</w:t>
      </w:r>
      <w:r>
        <w:rPr>
          <w:spacing w:val="-8"/>
        </w:rPr>
        <w:t xml:space="preserve"> </w:t>
      </w:r>
      <w:r>
        <w:t>by</w:t>
      </w:r>
      <w:r>
        <w:rPr>
          <w:spacing w:val="-14"/>
        </w:rPr>
        <w:t xml:space="preserve"> </w:t>
      </w:r>
      <w:r>
        <w:t>a</w:t>
      </w:r>
      <w:r>
        <w:rPr>
          <w:spacing w:val="-9"/>
        </w:rPr>
        <w:t xml:space="preserve"> </w:t>
      </w:r>
      <w:r>
        <w:t>provider leaving</w:t>
      </w:r>
      <w:r>
        <w:rPr>
          <w:spacing w:val="-2"/>
        </w:rPr>
        <w:t xml:space="preserve"> </w:t>
      </w:r>
      <w:r>
        <w:t>the</w:t>
      </w:r>
      <w:r>
        <w:rPr>
          <w:spacing w:val="-1"/>
        </w:rPr>
        <w:t xml:space="preserve"> </w:t>
      </w:r>
      <w:r>
        <w:t>network. For the second notification, the information could be used by consumers to understand their cost sharing obligations if they receive care from an out-of-network ancillary provider.</w:t>
      </w:r>
      <w:r>
        <w:rPr>
          <w:spacing w:val="-2"/>
        </w:rPr>
        <w:t xml:space="preserve"> </w:t>
      </w:r>
      <w:r>
        <w:t>These</w:t>
      </w:r>
      <w:r>
        <w:rPr>
          <w:spacing w:val="-3"/>
        </w:rPr>
        <w:t xml:space="preserve"> </w:t>
      </w:r>
      <w:r>
        <w:t>notifications</w:t>
      </w:r>
      <w:r>
        <w:rPr>
          <w:spacing w:val="-2"/>
        </w:rPr>
        <w:t xml:space="preserve"> </w:t>
      </w:r>
      <w:r>
        <w:t>are</w:t>
      </w:r>
      <w:r>
        <w:rPr>
          <w:spacing w:val="-3"/>
        </w:rPr>
        <w:t xml:space="preserve"> </w:t>
      </w:r>
      <w:r>
        <w:t>intended</w:t>
      </w:r>
      <w:r>
        <w:rPr>
          <w:spacing w:val="-2"/>
        </w:rPr>
        <w:t xml:space="preserve"> </w:t>
      </w:r>
      <w:r>
        <w:t>to</w:t>
      </w:r>
      <w:r>
        <w:rPr>
          <w:spacing w:val="-2"/>
        </w:rPr>
        <w:t xml:space="preserve"> </w:t>
      </w:r>
      <w:r>
        <w:t>inform</w:t>
      </w:r>
      <w:r>
        <w:rPr>
          <w:spacing w:val="-2"/>
        </w:rPr>
        <w:t xml:space="preserve"> </w:t>
      </w:r>
      <w:r>
        <w:t>the</w:t>
      </w:r>
      <w:r>
        <w:rPr>
          <w:spacing w:val="-3"/>
        </w:rPr>
        <w:t xml:space="preserve"> </w:t>
      </w:r>
      <w:r>
        <w:t>consumer</w:t>
      </w:r>
      <w:r>
        <w:rPr>
          <w:spacing w:val="-3"/>
        </w:rPr>
        <w:t xml:space="preserve"> </w:t>
      </w:r>
      <w:r>
        <w:t>about</w:t>
      </w:r>
      <w:r>
        <w:rPr>
          <w:spacing w:val="-2"/>
        </w:rPr>
        <w:t xml:space="preserve"> </w:t>
      </w:r>
      <w:r>
        <w:t>his</w:t>
      </w:r>
      <w:r>
        <w:rPr>
          <w:spacing w:val="-2"/>
        </w:rPr>
        <w:t xml:space="preserve"> </w:t>
      </w:r>
      <w:r>
        <w:t>or</w:t>
      </w:r>
      <w:r>
        <w:rPr>
          <w:spacing w:val="-3"/>
        </w:rPr>
        <w:t xml:space="preserve"> </w:t>
      </w:r>
      <w:r>
        <w:t>her</w:t>
      </w:r>
      <w:r>
        <w:rPr>
          <w:spacing w:val="-3"/>
        </w:rPr>
        <w:t xml:space="preserve"> </w:t>
      </w:r>
      <w:r>
        <w:t>health</w:t>
      </w:r>
      <w:r>
        <w:rPr>
          <w:spacing w:val="-2"/>
        </w:rPr>
        <w:t xml:space="preserve"> </w:t>
      </w:r>
      <w:r>
        <w:t>insurance coverage to better make cost effective choices.</w:t>
      </w:r>
    </w:p>
    <w:p>
      <w:pPr>
        <w:pStyle w:val="ListParagraph"/>
        <w:numPr>
          <w:ilvl w:val="1"/>
          <w:numId w:val="1"/>
        </w:numPr>
        <w:tabs>
          <w:tab w:val="left" w:pos="787"/>
        </w:tabs>
        <w:spacing w:before="240" w:after="0" w:line="240" w:lineRule="auto"/>
        <w:ind w:left="787" w:right="0" w:hanging="548"/>
        <w:jc w:val="left"/>
        <w:rPr>
          <w:i/>
          <w:sz w:val="24"/>
        </w:rPr>
      </w:pPr>
      <w:bookmarkStart w:id="5" w:name="3. Use of Information Technology "/>
      <w:bookmarkEnd w:id="5"/>
      <w:r>
        <w:rPr>
          <w:i/>
          <w:sz w:val="24"/>
        </w:rPr>
        <w:t>Use</w:t>
      </w:r>
      <w:r>
        <w:rPr>
          <w:i/>
          <w:spacing w:val="-3"/>
          <w:sz w:val="24"/>
        </w:rPr>
        <w:t xml:space="preserve"> </w:t>
      </w:r>
      <w:r>
        <w:rPr>
          <w:i/>
          <w:sz w:val="24"/>
        </w:rPr>
        <w:t>of</w:t>
      </w:r>
      <w:r>
        <w:rPr>
          <w:i/>
          <w:spacing w:val="-1"/>
          <w:sz w:val="24"/>
        </w:rPr>
        <w:t xml:space="preserve"> </w:t>
      </w:r>
      <w:r>
        <w:rPr>
          <w:i/>
          <w:sz w:val="24"/>
        </w:rPr>
        <w:t>Information</w:t>
      </w:r>
      <w:r>
        <w:rPr>
          <w:i/>
          <w:spacing w:val="-1"/>
          <w:sz w:val="24"/>
        </w:rPr>
        <w:t xml:space="preserve"> </w:t>
      </w:r>
      <w:r>
        <w:rPr>
          <w:i/>
          <w:spacing w:val="-2"/>
          <w:sz w:val="24"/>
        </w:rPr>
        <w:t>Technology</w:t>
      </w:r>
    </w:p>
    <w:p>
      <w:pPr>
        <w:pStyle w:val="BodyText"/>
        <w:spacing w:before="171"/>
        <w:ind w:right="332"/>
      </w:pPr>
      <w:r>
        <w:t>CMS anticipates that QHP issuers will use their claims data systems to identify enrollees, complaints</w:t>
      </w:r>
      <w:r>
        <w:rPr>
          <w:spacing w:val="-1"/>
        </w:rPr>
        <w:t xml:space="preserve"> </w:t>
      </w:r>
      <w:r>
        <w:t>or</w:t>
      </w:r>
      <w:r>
        <w:rPr>
          <w:spacing w:val="-2"/>
        </w:rPr>
        <w:t xml:space="preserve"> </w:t>
      </w:r>
      <w:r>
        <w:t>customer</w:t>
      </w:r>
      <w:r>
        <w:rPr>
          <w:spacing w:val="-2"/>
        </w:rPr>
        <w:t xml:space="preserve"> </w:t>
      </w:r>
      <w:r>
        <w:t>service</w:t>
      </w:r>
      <w:r>
        <w:rPr>
          <w:spacing w:val="-2"/>
        </w:rPr>
        <w:t xml:space="preserve"> </w:t>
      </w:r>
      <w:r>
        <w:t>systems</w:t>
      </w:r>
      <w:r>
        <w:rPr>
          <w:spacing w:val="-1"/>
        </w:rPr>
        <w:t xml:space="preserve"> </w:t>
      </w:r>
      <w:r>
        <w:t>to</w:t>
      </w:r>
      <w:r>
        <w:rPr>
          <w:spacing w:val="-1"/>
        </w:rPr>
        <w:t xml:space="preserve"> </w:t>
      </w:r>
      <w:r>
        <w:t>identify</w:t>
      </w:r>
      <w:r>
        <w:rPr>
          <w:spacing w:val="-1"/>
        </w:rPr>
        <w:t xml:space="preserve"> </w:t>
      </w:r>
      <w:r>
        <w:t>impacted</w:t>
      </w:r>
      <w:r>
        <w:rPr>
          <w:spacing w:val="-1"/>
        </w:rPr>
        <w:t xml:space="preserve"> </w:t>
      </w:r>
      <w:r>
        <w:t>or</w:t>
      </w:r>
      <w:r>
        <w:rPr>
          <w:spacing w:val="-2"/>
        </w:rPr>
        <w:t xml:space="preserve"> </w:t>
      </w:r>
      <w:r>
        <w:t>qualifying</w:t>
      </w:r>
      <w:r>
        <w:rPr>
          <w:spacing w:val="-1"/>
        </w:rPr>
        <w:t xml:space="preserve"> </w:t>
      </w:r>
      <w:r>
        <w:t>enrollees</w:t>
      </w:r>
      <w:r>
        <w:rPr>
          <w:spacing w:val="-1"/>
        </w:rPr>
        <w:t xml:space="preserve"> </w:t>
      </w:r>
      <w:r>
        <w:t>or</w:t>
      </w:r>
      <w:r>
        <w:rPr>
          <w:spacing w:val="-2"/>
        </w:rPr>
        <w:t xml:space="preserve"> </w:t>
      </w:r>
      <w:r>
        <w:t>use</w:t>
      </w:r>
      <w:r>
        <w:rPr>
          <w:spacing w:val="38"/>
        </w:rPr>
        <w:t xml:space="preserve"> </w:t>
      </w:r>
      <w:r>
        <w:t>the plan’s</w:t>
      </w:r>
      <w:r>
        <w:rPr>
          <w:spacing w:val="-6"/>
        </w:rPr>
        <w:t xml:space="preserve"> </w:t>
      </w:r>
      <w:r>
        <w:t>preauthorization</w:t>
      </w:r>
      <w:r>
        <w:rPr>
          <w:spacing w:val="-6"/>
        </w:rPr>
        <w:t xml:space="preserve"> </w:t>
      </w:r>
      <w:r>
        <w:t>process.</w:t>
      </w:r>
      <w:r>
        <w:rPr>
          <w:spacing w:val="-6"/>
        </w:rPr>
        <w:t xml:space="preserve"> </w:t>
      </w:r>
      <w:r>
        <w:t>The</w:t>
      </w:r>
      <w:r>
        <w:rPr>
          <w:spacing w:val="-9"/>
        </w:rPr>
        <w:t xml:space="preserve"> </w:t>
      </w:r>
      <w:r>
        <w:t>notification</w:t>
      </w:r>
      <w:r>
        <w:rPr>
          <w:spacing w:val="-6"/>
        </w:rPr>
        <w:t xml:space="preserve"> </w:t>
      </w:r>
      <w:r>
        <w:t>can</w:t>
      </w:r>
      <w:r>
        <w:rPr>
          <w:spacing w:val="-6"/>
        </w:rPr>
        <w:t xml:space="preserve"> </w:t>
      </w:r>
      <w:r>
        <w:t>be</w:t>
      </w:r>
      <w:r>
        <w:rPr>
          <w:spacing w:val="-9"/>
        </w:rPr>
        <w:t xml:space="preserve"> </w:t>
      </w:r>
      <w:r>
        <w:t>sent</w:t>
      </w:r>
      <w:r>
        <w:rPr>
          <w:spacing w:val="-5"/>
        </w:rPr>
        <w:t xml:space="preserve"> </w:t>
      </w:r>
      <w:r>
        <w:t>to</w:t>
      </w:r>
      <w:r>
        <w:rPr>
          <w:spacing w:val="-6"/>
        </w:rPr>
        <w:t xml:space="preserve"> </w:t>
      </w:r>
      <w:r>
        <w:t>the</w:t>
      </w:r>
      <w:r>
        <w:rPr>
          <w:spacing w:val="-4"/>
        </w:rPr>
        <w:t xml:space="preserve"> </w:t>
      </w:r>
      <w:r>
        <w:t>enrollee</w:t>
      </w:r>
      <w:r>
        <w:rPr>
          <w:spacing w:val="-4"/>
        </w:rPr>
        <w:t xml:space="preserve"> </w:t>
      </w:r>
      <w:r>
        <w:t>electronically</w:t>
      </w:r>
      <w:r>
        <w:rPr>
          <w:spacing w:val="-15"/>
        </w:rPr>
        <w:t xml:space="preserve"> </w:t>
      </w:r>
      <w:r>
        <w:t>or</w:t>
      </w:r>
      <w:r>
        <w:rPr>
          <w:spacing w:val="-9"/>
        </w:rPr>
        <w:t xml:space="preserve"> </w:t>
      </w:r>
      <w:r>
        <w:t xml:space="preserve">by </w:t>
      </w:r>
      <w:r>
        <w:rPr>
          <w:spacing w:val="-2"/>
        </w:rPr>
        <w:t>mail.</w:t>
      </w:r>
    </w:p>
    <w:p>
      <w:pPr>
        <w:pStyle w:val="ListParagraph"/>
        <w:numPr>
          <w:ilvl w:val="1"/>
          <w:numId w:val="1"/>
        </w:numPr>
        <w:tabs>
          <w:tab w:val="left" w:pos="787"/>
        </w:tabs>
        <w:spacing w:before="240" w:after="0" w:line="240" w:lineRule="auto"/>
        <w:ind w:left="787" w:right="0" w:hanging="548"/>
        <w:jc w:val="left"/>
        <w:rPr>
          <w:i/>
          <w:sz w:val="24"/>
        </w:rPr>
      </w:pPr>
      <w:bookmarkStart w:id="6" w:name="4. Duplication of Efforts "/>
      <w:bookmarkEnd w:id="6"/>
      <w:r>
        <w:rPr>
          <w:i/>
          <w:sz w:val="24"/>
        </w:rPr>
        <w:t>Duplication</w:t>
      </w:r>
      <w:r>
        <w:rPr>
          <w:i/>
          <w:spacing w:val="-1"/>
          <w:sz w:val="24"/>
        </w:rPr>
        <w:t xml:space="preserve"> </w:t>
      </w:r>
      <w:r>
        <w:rPr>
          <w:i/>
          <w:sz w:val="24"/>
        </w:rPr>
        <w:t>of</w:t>
      </w:r>
      <w:r>
        <w:rPr>
          <w:i/>
          <w:spacing w:val="-1"/>
          <w:sz w:val="24"/>
        </w:rPr>
        <w:t xml:space="preserve"> </w:t>
      </w:r>
      <w:r>
        <w:rPr>
          <w:i/>
          <w:spacing w:val="-2"/>
          <w:sz w:val="24"/>
        </w:rPr>
        <w:t>Efforts</w:t>
      </w:r>
    </w:p>
    <w:p>
      <w:pPr>
        <w:pStyle w:val="BodyText"/>
      </w:pPr>
      <w:r>
        <w:t>This</w:t>
      </w:r>
      <w:r>
        <w:rPr>
          <w:spacing w:val="-13"/>
        </w:rPr>
        <w:t xml:space="preserve"> </w:t>
      </w:r>
      <w:r>
        <w:t>information</w:t>
      </w:r>
      <w:r>
        <w:rPr>
          <w:spacing w:val="-7"/>
        </w:rPr>
        <w:t xml:space="preserve"> </w:t>
      </w:r>
      <w:r>
        <w:t>collection</w:t>
      </w:r>
      <w:r>
        <w:rPr>
          <w:spacing w:val="-6"/>
        </w:rPr>
        <w:t xml:space="preserve"> </w:t>
      </w:r>
      <w:r>
        <w:t>does</w:t>
      </w:r>
      <w:r>
        <w:rPr>
          <w:spacing w:val="-7"/>
        </w:rPr>
        <w:t xml:space="preserve"> </w:t>
      </w:r>
      <w:r>
        <w:t>not</w:t>
      </w:r>
      <w:r>
        <w:rPr>
          <w:spacing w:val="-4"/>
        </w:rPr>
        <w:t xml:space="preserve"> </w:t>
      </w:r>
      <w:r>
        <w:t>duplicate</w:t>
      </w:r>
      <w:r>
        <w:rPr>
          <w:spacing w:val="-11"/>
        </w:rPr>
        <w:t xml:space="preserve"> </w:t>
      </w:r>
      <w:r>
        <w:t>any</w:t>
      </w:r>
      <w:r>
        <w:rPr>
          <w:spacing w:val="-15"/>
        </w:rPr>
        <w:t xml:space="preserve"> </w:t>
      </w:r>
      <w:r>
        <w:t>other</w:t>
      </w:r>
      <w:r>
        <w:rPr>
          <w:spacing w:val="-8"/>
        </w:rPr>
        <w:t xml:space="preserve"> </w:t>
      </w:r>
      <w:r>
        <w:t>Federal</w:t>
      </w:r>
      <w:r>
        <w:rPr>
          <w:spacing w:val="-1"/>
        </w:rPr>
        <w:t xml:space="preserve"> </w:t>
      </w:r>
      <w:r>
        <w:rPr>
          <w:spacing w:val="-2"/>
        </w:rPr>
        <w:t>effort.</w:t>
      </w:r>
    </w:p>
    <w:p>
      <w:pPr>
        <w:pStyle w:val="ListParagraph"/>
        <w:numPr>
          <w:ilvl w:val="1"/>
          <w:numId w:val="1"/>
        </w:numPr>
        <w:tabs>
          <w:tab w:val="left" w:pos="787"/>
        </w:tabs>
        <w:spacing w:before="238" w:after="0" w:line="240" w:lineRule="auto"/>
        <w:ind w:left="787" w:right="0" w:hanging="548"/>
        <w:jc w:val="left"/>
        <w:rPr>
          <w:i/>
          <w:sz w:val="24"/>
        </w:rPr>
      </w:pPr>
      <w:bookmarkStart w:id="7" w:name="5. Small Businesses "/>
      <w:bookmarkEnd w:id="7"/>
      <w:r>
        <w:rPr>
          <w:i/>
          <w:sz w:val="24"/>
        </w:rPr>
        <w:t>Small</w:t>
      </w:r>
      <w:r>
        <w:rPr>
          <w:i/>
          <w:spacing w:val="-2"/>
          <w:sz w:val="24"/>
        </w:rPr>
        <w:t xml:space="preserve"> Businesses</w:t>
      </w:r>
    </w:p>
    <w:p>
      <w:pPr>
        <w:pStyle w:val="BodyText"/>
      </w:pPr>
      <w:r>
        <w:t>This</w:t>
      </w:r>
      <w:r>
        <w:rPr>
          <w:spacing w:val="-11"/>
        </w:rPr>
        <w:t xml:space="preserve"> </w:t>
      </w:r>
      <w:r>
        <w:t>information</w:t>
      </w:r>
      <w:r>
        <w:rPr>
          <w:spacing w:val="-6"/>
        </w:rPr>
        <w:t xml:space="preserve"> </w:t>
      </w:r>
      <w:r>
        <w:t>collection</w:t>
      </w:r>
      <w:r>
        <w:rPr>
          <w:spacing w:val="-6"/>
        </w:rPr>
        <w:t xml:space="preserve"> </w:t>
      </w:r>
      <w:r>
        <w:t>will</w:t>
      </w:r>
      <w:r>
        <w:rPr>
          <w:spacing w:val="-3"/>
        </w:rPr>
        <w:t xml:space="preserve"> </w:t>
      </w:r>
      <w:r>
        <w:t>not</w:t>
      </w:r>
      <w:r>
        <w:rPr>
          <w:spacing w:val="-6"/>
        </w:rPr>
        <w:t xml:space="preserve"> </w:t>
      </w:r>
      <w:r>
        <w:t>have</w:t>
      </w:r>
      <w:r>
        <w:rPr>
          <w:spacing w:val="-11"/>
        </w:rPr>
        <w:t xml:space="preserve"> </w:t>
      </w:r>
      <w:r>
        <w:t>a</w:t>
      </w:r>
      <w:r>
        <w:rPr>
          <w:spacing w:val="-10"/>
        </w:rPr>
        <w:t xml:space="preserve"> </w:t>
      </w:r>
      <w:r>
        <w:t>significant</w:t>
      </w:r>
      <w:r>
        <w:rPr>
          <w:spacing w:val="-4"/>
        </w:rPr>
        <w:t xml:space="preserve"> </w:t>
      </w:r>
      <w:r>
        <w:t>impact</w:t>
      </w:r>
      <w:r>
        <w:rPr>
          <w:spacing w:val="-6"/>
        </w:rPr>
        <w:t xml:space="preserve"> </w:t>
      </w:r>
      <w:r>
        <w:t>on</w:t>
      </w:r>
      <w:r>
        <w:rPr>
          <w:spacing w:val="-6"/>
        </w:rPr>
        <w:t xml:space="preserve"> </w:t>
      </w:r>
      <w:r>
        <w:t>small</w:t>
      </w:r>
      <w:r>
        <w:rPr>
          <w:spacing w:val="-3"/>
        </w:rPr>
        <w:t xml:space="preserve"> </w:t>
      </w:r>
      <w:r>
        <w:rPr>
          <w:spacing w:val="-2"/>
        </w:rPr>
        <w:t>businesses.</w:t>
      </w:r>
    </w:p>
    <w:p>
      <w:pPr>
        <w:pStyle w:val="BodyText"/>
        <w:spacing w:after="0"/>
        <w:sectPr>
          <w:pgSz w:w="12240" w:h="15840"/>
          <w:pgMar w:top="1560" w:right="1080" w:bottom="1380" w:left="1080" w:header="0" w:footer="1183"/>
          <w:cols w:space="720"/>
        </w:sectPr>
      </w:pPr>
    </w:p>
    <w:p>
      <w:pPr>
        <w:pStyle w:val="ListParagraph"/>
        <w:numPr>
          <w:ilvl w:val="1"/>
          <w:numId w:val="1"/>
        </w:numPr>
        <w:tabs>
          <w:tab w:val="left" w:pos="787"/>
        </w:tabs>
        <w:spacing w:before="78" w:after="0" w:line="240" w:lineRule="auto"/>
        <w:ind w:left="787" w:right="0" w:hanging="547"/>
        <w:jc w:val="left"/>
        <w:rPr>
          <w:i/>
          <w:sz w:val="24"/>
        </w:rPr>
      </w:pPr>
      <w:bookmarkStart w:id="8" w:name="6. Less Frequent Collection "/>
      <w:bookmarkEnd w:id="8"/>
      <w:r>
        <w:rPr>
          <w:i/>
          <w:sz w:val="24"/>
        </w:rPr>
        <w:t>Less</w:t>
      </w:r>
      <w:r>
        <w:rPr>
          <w:i/>
          <w:spacing w:val="-2"/>
          <w:sz w:val="24"/>
        </w:rPr>
        <w:t xml:space="preserve"> </w:t>
      </w:r>
      <w:r>
        <w:rPr>
          <w:i/>
          <w:sz w:val="24"/>
        </w:rPr>
        <w:t>Frequent</w:t>
      </w:r>
      <w:r>
        <w:rPr>
          <w:i/>
          <w:spacing w:val="-2"/>
          <w:sz w:val="24"/>
        </w:rPr>
        <w:t xml:space="preserve"> Collection</w:t>
      </w:r>
    </w:p>
    <w:p>
      <w:pPr>
        <w:pStyle w:val="BodyText"/>
        <w:ind w:left="240" w:right="229"/>
      </w:pPr>
      <w:r>
        <w:t>The</w:t>
      </w:r>
      <w:r>
        <w:rPr>
          <w:spacing w:val="-4"/>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3"/>
        </w:rPr>
        <w:t xml:space="preserve"> </w:t>
      </w:r>
      <w:r>
        <w:t>information</w:t>
      </w:r>
      <w:r>
        <w:rPr>
          <w:spacing w:val="-3"/>
        </w:rPr>
        <w:t xml:space="preserve"> </w:t>
      </w:r>
      <w:r>
        <w:t>collection</w:t>
      </w:r>
      <w:r>
        <w:rPr>
          <w:spacing w:val="-3"/>
        </w:rPr>
        <w:t xml:space="preserve"> </w:t>
      </w:r>
      <w:r>
        <w:t>consists</w:t>
      </w:r>
      <w:r>
        <w:rPr>
          <w:spacing w:val="-3"/>
        </w:rPr>
        <w:t xml:space="preserve"> </w:t>
      </w:r>
      <w:r>
        <w:t>of</w:t>
      </w:r>
      <w:r>
        <w:rPr>
          <w:spacing w:val="-4"/>
        </w:rPr>
        <w:t xml:space="preserve"> </w:t>
      </w:r>
      <w:r>
        <w:t>QHP</w:t>
      </w:r>
      <w:r>
        <w:rPr>
          <w:spacing w:val="-3"/>
        </w:rPr>
        <w:t xml:space="preserve"> </w:t>
      </w:r>
      <w:r>
        <w:t>issuers</w:t>
      </w:r>
      <w:r>
        <w:rPr>
          <w:spacing w:val="-3"/>
        </w:rPr>
        <w:t xml:space="preserve"> </w:t>
      </w:r>
      <w:r>
        <w:t>in</w:t>
      </w:r>
      <w:r>
        <w:rPr>
          <w:spacing w:val="-3"/>
        </w:rPr>
        <w:t xml:space="preserve"> </w:t>
      </w:r>
      <w:r>
        <w:t>the</w:t>
      </w:r>
      <w:r>
        <w:rPr>
          <w:spacing w:val="-4"/>
        </w:rPr>
        <w:t xml:space="preserve"> </w:t>
      </w:r>
      <w:r>
        <w:t>FFE</w:t>
      </w:r>
      <w:r>
        <w:rPr>
          <w:spacing w:val="-4"/>
        </w:rPr>
        <w:t xml:space="preserve"> </w:t>
      </w:r>
      <w:r>
        <w:t>that</w:t>
      </w:r>
      <w:r>
        <w:rPr>
          <w:spacing w:val="-3"/>
        </w:rPr>
        <w:t xml:space="preserve"> </w:t>
      </w:r>
      <w:r>
        <w:t>use</w:t>
      </w:r>
      <w:r>
        <w:rPr>
          <w:spacing w:val="-2"/>
        </w:rPr>
        <w:t xml:space="preserve"> </w:t>
      </w:r>
      <w:r>
        <w:t>a provider network notifying</w:t>
      </w:r>
      <w:r>
        <w:rPr>
          <w:spacing w:val="-4"/>
        </w:rPr>
        <w:t xml:space="preserve"> </w:t>
      </w:r>
      <w:r>
        <w:t>enrollees about the</w:t>
      </w:r>
      <w:r>
        <w:rPr>
          <w:spacing w:val="-2"/>
        </w:rPr>
        <w:t xml:space="preserve"> </w:t>
      </w:r>
      <w:r>
        <w:t>plan’s network coverage. QHP issuers that use a provider network need to make this information available to the plan’s enrollees.</w:t>
      </w:r>
    </w:p>
    <w:p>
      <w:pPr>
        <w:pStyle w:val="BodyText"/>
        <w:spacing w:before="241"/>
        <w:ind w:right="229"/>
      </w:pPr>
      <w:r>
        <w:t>We recognize that the notification of the provider leaving a network is a good faith effort as there are</w:t>
      </w:r>
      <w:r>
        <w:rPr>
          <w:spacing w:val="-4"/>
        </w:rPr>
        <w:t xml:space="preserve"> </w:t>
      </w:r>
      <w:r>
        <w:t>certain</w:t>
      </w:r>
      <w:r>
        <w:rPr>
          <w:spacing w:val="-3"/>
        </w:rPr>
        <w:t xml:space="preserve"> </w:t>
      </w:r>
      <w:r>
        <w:t>situations</w:t>
      </w:r>
      <w:r>
        <w:rPr>
          <w:spacing w:val="-3"/>
        </w:rPr>
        <w:t xml:space="preserve"> </w:t>
      </w:r>
      <w:r>
        <w:t>that</w:t>
      </w:r>
      <w:r>
        <w:rPr>
          <w:spacing w:val="-3"/>
        </w:rPr>
        <w:t xml:space="preserve"> </w:t>
      </w:r>
      <w:r>
        <w:t>the</w:t>
      </w:r>
      <w:r>
        <w:rPr>
          <w:spacing w:val="-4"/>
        </w:rPr>
        <w:t xml:space="preserve"> </w:t>
      </w:r>
      <w:r>
        <w:t>issuer</w:t>
      </w:r>
      <w:r>
        <w:rPr>
          <w:spacing w:val="-4"/>
        </w:rPr>
        <w:t xml:space="preserve"> </w:t>
      </w:r>
      <w:r>
        <w:t>cannot</w:t>
      </w:r>
      <w:r>
        <w:rPr>
          <w:spacing w:val="-3"/>
        </w:rPr>
        <w:t xml:space="preserve"> </w:t>
      </w:r>
      <w:r>
        <w:t>anticipate.</w:t>
      </w:r>
      <w:r>
        <w:rPr>
          <w:spacing w:val="-3"/>
        </w:rPr>
        <w:t xml:space="preserve"> </w:t>
      </w:r>
      <w:r>
        <w:t>For</w:t>
      </w:r>
      <w:r>
        <w:rPr>
          <w:spacing w:val="-4"/>
        </w:rPr>
        <w:t xml:space="preserve"> </w:t>
      </w:r>
      <w:r>
        <w:t>these</w:t>
      </w:r>
      <w:r>
        <w:rPr>
          <w:spacing w:val="-4"/>
        </w:rPr>
        <w:t xml:space="preserve"> </w:t>
      </w:r>
      <w:r>
        <w:t>reasons,</w:t>
      </w:r>
      <w:r>
        <w:rPr>
          <w:spacing w:val="-4"/>
        </w:rPr>
        <w:t xml:space="preserve"> </w:t>
      </w:r>
      <w:r>
        <w:t>the</w:t>
      </w:r>
      <w:r>
        <w:rPr>
          <w:spacing w:val="-4"/>
        </w:rPr>
        <w:t xml:space="preserve"> </w:t>
      </w:r>
      <w:r>
        <w:t>regulation</w:t>
      </w:r>
      <w:r>
        <w:rPr>
          <w:spacing w:val="-3"/>
        </w:rPr>
        <w:t xml:space="preserve"> </w:t>
      </w:r>
      <w:r>
        <w:t>requires</w:t>
      </w:r>
      <w:r>
        <w:rPr>
          <w:spacing w:val="-3"/>
        </w:rPr>
        <w:t xml:space="preserve"> </w:t>
      </w:r>
      <w:r>
        <w:t>the notification 30 days prior to the effective date of the change or otherwise as soon as practicable.</w:t>
      </w:r>
    </w:p>
    <w:p>
      <w:pPr>
        <w:pStyle w:val="BodyText"/>
        <w:spacing w:before="240"/>
        <w:ind w:left="240" w:right="299"/>
      </w:pPr>
      <w:r>
        <w:t>We</w:t>
      </w:r>
      <w:r>
        <w:rPr>
          <w:spacing w:val="-4"/>
        </w:rPr>
        <w:t xml:space="preserve"> </w:t>
      </w:r>
      <w:r>
        <w:t>believe</w:t>
      </w:r>
      <w:r>
        <w:rPr>
          <w:spacing w:val="-4"/>
        </w:rPr>
        <w:t xml:space="preserve"> </w:t>
      </w:r>
      <w:r>
        <w:t>the</w:t>
      </w:r>
      <w:r>
        <w:rPr>
          <w:spacing w:val="-4"/>
        </w:rPr>
        <w:t xml:space="preserve"> </w:t>
      </w:r>
      <w:r>
        <w:t>advance</w:t>
      </w:r>
      <w:r>
        <w:rPr>
          <w:spacing w:val="-2"/>
        </w:rPr>
        <w:t xml:space="preserve"> </w:t>
      </w:r>
      <w:r>
        <w:t>notice</w:t>
      </w:r>
      <w:r>
        <w:rPr>
          <w:spacing w:val="-4"/>
        </w:rPr>
        <w:t xml:space="preserve"> </w:t>
      </w:r>
      <w:r>
        <w:t>provision</w:t>
      </w:r>
      <w:r>
        <w:rPr>
          <w:spacing w:val="-3"/>
        </w:rPr>
        <w:t xml:space="preserve"> </w:t>
      </w:r>
      <w:r>
        <w:t>will</w:t>
      </w:r>
      <w:r>
        <w:rPr>
          <w:spacing w:val="-3"/>
        </w:rPr>
        <w:t xml:space="preserve"> </w:t>
      </w:r>
      <w:r>
        <w:t>help</w:t>
      </w:r>
      <w:r>
        <w:rPr>
          <w:spacing w:val="-3"/>
        </w:rPr>
        <w:t xml:space="preserve"> </w:t>
      </w:r>
      <w:r>
        <w:t>provide</w:t>
      </w:r>
      <w:r>
        <w:rPr>
          <w:spacing w:val="-4"/>
        </w:rPr>
        <w:t xml:space="preserve"> </w:t>
      </w:r>
      <w:r>
        <w:t>transparency</w:t>
      </w:r>
      <w:r>
        <w:rPr>
          <w:spacing w:val="-1"/>
        </w:rPr>
        <w:t xml:space="preserve"> </w:t>
      </w:r>
      <w:r>
        <w:t>and</w:t>
      </w:r>
      <w:r>
        <w:rPr>
          <w:spacing w:val="-3"/>
        </w:rPr>
        <w:t xml:space="preserve"> </w:t>
      </w:r>
      <w:r>
        <w:t>ensure</w:t>
      </w:r>
      <w:r>
        <w:rPr>
          <w:spacing w:val="-4"/>
        </w:rPr>
        <w:t xml:space="preserve"> </w:t>
      </w:r>
      <w:r>
        <w:t>that</w:t>
      </w:r>
      <w:r>
        <w:rPr>
          <w:spacing w:val="-3"/>
        </w:rPr>
        <w:t xml:space="preserve"> </w:t>
      </w:r>
      <w:r>
        <w:t>consumers receive notice of the possible consequences where an out-of-network ancillary provider may be seen and are provided some mitigation of these consequences where proper, timely notice is not provided by the issuer.</w:t>
      </w:r>
    </w:p>
    <w:p>
      <w:pPr>
        <w:pStyle w:val="ListParagraph"/>
        <w:numPr>
          <w:ilvl w:val="1"/>
          <w:numId w:val="1"/>
        </w:numPr>
        <w:tabs>
          <w:tab w:val="left" w:pos="787"/>
        </w:tabs>
        <w:spacing w:before="240" w:after="0" w:line="240" w:lineRule="auto"/>
        <w:ind w:left="787" w:right="0" w:hanging="547"/>
        <w:jc w:val="left"/>
        <w:rPr>
          <w:i/>
          <w:sz w:val="24"/>
        </w:rPr>
      </w:pPr>
      <w:bookmarkStart w:id="9" w:name="7. Special Circumstances "/>
      <w:bookmarkEnd w:id="9"/>
      <w:r>
        <w:rPr>
          <w:i/>
          <w:sz w:val="24"/>
        </w:rPr>
        <w:t>Special</w:t>
      </w:r>
      <w:r>
        <w:rPr>
          <w:i/>
          <w:spacing w:val="-4"/>
          <w:sz w:val="24"/>
        </w:rPr>
        <w:t xml:space="preserve"> </w:t>
      </w:r>
      <w:r>
        <w:rPr>
          <w:i/>
          <w:spacing w:val="-2"/>
          <w:sz w:val="24"/>
        </w:rPr>
        <w:t>Circumstances</w:t>
      </w:r>
    </w:p>
    <w:p>
      <w:pPr>
        <w:pStyle w:val="BodyText"/>
        <w:ind w:left="240"/>
      </w:pPr>
      <w:r>
        <w:t>There</w:t>
      </w:r>
      <w:r>
        <w:rPr>
          <w:spacing w:val="-5"/>
        </w:rPr>
        <w:t xml:space="preserve"> </w:t>
      </w:r>
      <w:r>
        <w:t>are</w:t>
      </w:r>
      <w:r>
        <w:rPr>
          <w:spacing w:val="-7"/>
        </w:rPr>
        <w:t xml:space="preserve"> </w:t>
      </w:r>
      <w:r>
        <w:t>no</w:t>
      </w:r>
      <w:r>
        <w:rPr>
          <w:spacing w:val="-4"/>
        </w:rPr>
        <w:t xml:space="preserve"> </w:t>
      </w:r>
      <w:r>
        <w:t>special</w:t>
      </w:r>
      <w:r>
        <w:rPr>
          <w:spacing w:val="-1"/>
        </w:rPr>
        <w:t xml:space="preserve"> </w:t>
      </w:r>
      <w:r>
        <w:rPr>
          <w:spacing w:val="-2"/>
        </w:rPr>
        <w:t>circumstances.</w:t>
      </w:r>
    </w:p>
    <w:p>
      <w:pPr>
        <w:pStyle w:val="ListParagraph"/>
        <w:numPr>
          <w:ilvl w:val="1"/>
          <w:numId w:val="1"/>
        </w:numPr>
        <w:tabs>
          <w:tab w:val="left" w:pos="787"/>
        </w:tabs>
        <w:spacing w:before="240" w:after="0" w:line="240" w:lineRule="auto"/>
        <w:ind w:left="787" w:right="0" w:hanging="547"/>
        <w:jc w:val="left"/>
        <w:rPr>
          <w:i/>
          <w:sz w:val="24"/>
        </w:rPr>
      </w:pPr>
      <w:bookmarkStart w:id="10" w:name="8. Federal Register/Outside Consultation"/>
      <w:bookmarkEnd w:id="10"/>
      <w:r>
        <w:rPr>
          <w:i/>
          <w:sz w:val="24"/>
        </w:rPr>
        <w:t>Federal</w:t>
      </w:r>
      <w:r>
        <w:rPr>
          <w:i/>
          <w:spacing w:val="-4"/>
          <w:sz w:val="24"/>
        </w:rPr>
        <w:t xml:space="preserve"> </w:t>
      </w:r>
      <w:r>
        <w:rPr>
          <w:i/>
          <w:sz w:val="24"/>
        </w:rPr>
        <w:t>Register/Outside</w:t>
      </w:r>
      <w:r>
        <w:rPr>
          <w:i/>
          <w:spacing w:val="-2"/>
          <w:sz w:val="24"/>
        </w:rPr>
        <w:t xml:space="preserve"> Consultation</w:t>
      </w:r>
    </w:p>
    <w:p>
      <w:pPr>
        <w:pStyle w:val="BodyText"/>
        <w:spacing w:before="171"/>
        <w:ind w:left="240"/>
      </w:pPr>
      <w:r>
        <w:t>A</w:t>
      </w:r>
      <w:r>
        <w:rPr>
          <w:spacing w:val="-13"/>
        </w:rPr>
        <w:t xml:space="preserve"> </w:t>
      </w:r>
      <w:r>
        <w:t>Notice</w:t>
      </w:r>
      <w:r>
        <w:rPr>
          <w:spacing w:val="-12"/>
        </w:rPr>
        <w:t xml:space="preserve"> </w:t>
      </w:r>
      <w:r>
        <w:t>of</w:t>
      </w:r>
      <w:r>
        <w:rPr>
          <w:spacing w:val="-13"/>
        </w:rPr>
        <w:t xml:space="preserve"> </w:t>
      </w:r>
      <w:r>
        <w:t>Proposed</w:t>
      </w:r>
      <w:r>
        <w:rPr>
          <w:spacing w:val="-12"/>
        </w:rPr>
        <w:t xml:space="preserve"> </w:t>
      </w:r>
      <w:r>
        <w:t>Rulemaking</w:t>
      </w:r>
      <w:r>
        <w:rPr>
          <w:spacing w:val="-10"/>
        </w:rPr>
        <w:t xml:space="preserve"> </w:t>
      </w:r>
      <w:r>
        <w:t>published</w:t>
      </w:r>
      <w:r>
        <w:rPr>
          <w:spacing w:val="-9"/>
        </w:rPr>
        <w:t xml:space="preserve"> </w:t>
      </w:r>
      <w:r>
        <w:t>in</w:t>
      </w:r>
      <w:r>
        <w:rPr>
          <w:spacing w:val="-8"/>
        </w:rPr>
        <w:t xml:space="preserve"> </w:t>
      </w:r>
      <w:r>
        <w:t>the</w:t>
      </w:r>
      <w:r>
        <w:rPr>
          <w:spacing w:val="-8"/>
        </w:rPr>
        <w:t xml:space="preserve"> </w:t>
      </w:r>
      <w:r>
        <w:t>Federal</w:t>
      </w:r>
      <w:r>
        <w:rPr>
          <w:spacing w:val="-7"/>
        </w:rPr>
        <w:t xml:space="preserve"> </w:t>
      </w:r>
      <w:r>
        <w:t>Register</w:t>
      </w:r>
      <w:r>
        <w:rPr>
          <w:spacing w:val="-8"/>
        </w:rPr>
        <w:t xml:space="preserve"> </w:t>
      </w:r>
      <w:r>
        <w:t>on</w:t>
      </w:r>
      <w:r>
        <w:rPr>
          <w:spacing w:val="-9"/>
        </w:rPr>
        <w:t xml:space="preserve"> </w:t>
      </w:r>
      <w:r>
        <w:t>February</w:t>
      </w:r>
      <w:r>
        <w:rPr>
          <w:spacing w:val="-9"/>
        </w:rPr>
        <w:t xml:space="preserve"> </w:t>
      </w:r>
      <w:r>
        <w:t>11,</w:t>
      </w:r>
      <w:r>
        <w:rPr>
          <w:spacing w:val="-9"/>
        </w:rPr>
        <w:t xml:space="preserve"> </w:t>
      </w:r>
      <w:r>
        <w:t>2026</w:t>
      </w:r>
      <w:r>
        <w:rPr>
          <w:spacing w:val="-10"/>
        </w:rPr>
        <w:t xml:space="preserve"> </w:t>
      </w:r>
      <w:r>
        <w:t>(91</w:t>
      </w:r>
      <w:r>
        <w:rPr>
          <w:spacing w:val="-7"/>
        </w:rPr>
        <w:t xml:space="preserve"> </w:t>
      </w:r>
      <w:r>
        <w:rPr>
          <w:spacing w:val="-5"/>
        </w:rPr>
        <w:t>FR</w:t>
      </w:r>
    </w:p>
    <w:p>
      <w:pPr>
        <w:pStyle w:val="BodyText"/>
        <w:spacing w:before="0" w:line="448" w:lineRule="auto"/>
        <w:ind w:right="555"/>
      </w:pPr>
      <w:r>
        <w:t>6292)</w:t>
      </w:r>
      <w:r>
        <w:rPr>
          <w:spacing w:val="-6"/>
        </w:rPr>
        <w:t xml:space="preserve"> </w:t>
      </w:r>
      <w:r>
        <w:t>for</w:t>
      </w:r>
      <w:r>
        <w:rPr>
          <w:spacing w:val="-1"/>
        </w:rPr>
        <w:t xml:space="preserve"> </w:t>
      </w:r>
      <w:r>
        <w:t>the</w:t>
      </w:r>
      <w:r>
        <w:rPr>
          <w:spacing w:val="-3"/>
        </w:rPr>
        <w:t xml:space="preserve"> </w:t>
      </w:r>
      <w:r>
        <w:t>public</w:t>
      </w:r>
      <w:r>
        <w:rPr>
          <w:spacing w:val="-3"/>
        </w:rPr>
        <w:t xml:space="preserve"> </w:t>
      </w:r>
      <w:r>
        <w:t>to</w:t>
      </w:r>
      <w:r>
        <w:rPr>
          <w:spacing w:val="-2"/>
        </w:rPr>
        <w:t xml:space="preserve"> </w:t>
      </w:r>
      <w:r>
        <w:t>submit</w:t>
      </w:r>
      <w:r>
        <w:rPr>
          <w:spacing w:val="-2"/>
        </w:rPr>
        <w:t xml:space="preserve"> </w:t>
      </w:r>
      <w:r>
        <w:t>written</w:t>
      </w:r>
      <w:r>
        <w:rPr>
          <w:spacing w:val="-2"/>
        </w:rPr>
        <w:t xml:space="preserve"> </w:t>
      </w:r>
      <w:r>
        <w:t>comment</w:t>
      </w:r>
      <w:r>
        <w:rPr>
          <w:spacing w:val="-2"/>
        </w:rPr>
        <w:t xml:space="preserve"> </w:t>
      </w:r>
      <w:r>
        <w:t>as</w:t>
      </w:r>
      <w:r>
        <w:rPr>
          <w:spacing w:val="-2"/>
        </w:rPr>
        <w:t xml:space="preserve"> </w:t>
      </w:r>
      <w:r>
        <w:t>part</w:t>
      </w:r>
      <w:r>
        <w:rPr>
          <w:spacing w:val="-2"/>
        </w:rPr>
        <w:t xml:space="preserve"> </w:t>
      </w:r>
      <w:r>
        <w:t>of</w:t>
      </w:r>
      <w:r>
        <w:rPr>
          <w:spacing w:val="-3"/>
        </w:rPr>
        <w:t xml:space="preserve"> </w:t>
      </w:r>
      <w:r>
        <w:t>a</w:t>
      </w:r>
      <w:r>
        <w:rPr>
          <w:spacing w:val="-3"/>
        </w:rPr>
        <w:t xml:space="preserve"> </w:t>
      </w:r>
      <w:r>
        <w:t>first-round</w:t>
      </w:r>
      <w:r>
        <w:rPr>
          <w:spacing w:val="-2"/>
        </w:rPr>
        <w:t xml:space="preserve"> </w:t>
      </w:r>
      <w:r>
        <w:t>public</w:t>
      </w:r>
      <w:r>
        <w:rPr>
          <w:spacing w:val="-4"/>
        </w:rPr>
        <w:t xml:space="preserve"> </w:t>
      </w:r>
      <w:r>
        <w:t>comment</w:t>
      </w:r>
      <w:r>
        <w:rPr>
          <w:spacing w:val="-2"/>
        </w:rPr>
        <w:t xml:space="preserve"> </w:t>
      </w:r>
      <w:r>
        <w:t>period. No additional outside consultation was sought.</w:t>
      </w:r>
    </w:p>
    <w:p>
      <w:pPr>
        <w:pStyle w:val="ListParagraph"/>
        <w:numPr>
          <w:ilvl w:val="1"/>
          <w:numId w:val="1"/>
        </w:numPr>
        <w:tabs>
          <w:tab w:val="left" w:pos="787"/>
        </w:tabs>
        <w:spacing w:before="275" w:after="0" w:line="240" w:lineRule="auto"/>
        <w:ind w:left="787" w:right="0" w:hanging="547"/>
        <w:jc w:val="left"/>
        <w:rPr>
          <w:i/>
          <w:sz w:val="24"/>
        </w:rPr>
      </w:pPr>
      <w:bookmarkStart w:id="11" w:name="9. Payments/Gifts to Respondents "/>
      <w:bookmarkEnd w:id="11"/>
      <w:r>
        <w:rPr>
          <w:i/>
          <w:sz w:val="24"/>
        </w:rPr>
        <w:t>Payments/Gifts</w:t>
      </w:r>
      <w:r>
        <w:rPr>
          <w:i/>
          <w:spacing w:val="-5"/>
          <w:sz w:val="24"/>
        </w:rPr>
        <w:t xml:space="preserve"> </w:t>
      </w:r>
      <w:r>
        <w:rPr>
          <w:i/>
          <w:sz w:val="24"/>
        </w:rPr>
        <w:t>to</w:t>
      </w:r>
      <w:r>
        <w:rPr>
          <w:i/>
          <w:spacing w:val="-2"/>
          <w:sz w:val="24"/>
        </w:rPr>
        <w:t xml:space="preserve"> Respondents</w:t>
      </w:r>
    </w:p>
    <w:p>
      <w:pPr>
        <w:pStyle w:val="BodyText"/>
        <w:spacing w:before="171"/>
        <w:ind w:left="240"/>
      </w:pPr>
      <w:r>
        <w:t>No</w:t>
      </w:r>
      <w:r>
        <w:rPr>
          <w:spacing w:val="-8"/>
        </w:rPr>
        <w:t xml:space="preserve"> </w:t>
      </w:r>
      <w:r>
        <w:t>payments</w:t>
      </w:r>
      <w:r>
        <w:rPr>
          <w:spacing w:val="-4"/>
        </w:rPr>
        <w:t xml:space="preserve"> </w:t>
      </w:r>
      <w:r>
        <w:t>and/or</w:t>
      </w:r>
      <w:r>
        <w:rPr>
          <w:spacing w:val="-2"/>
        </w:rPr>
        <w:t xml:space="preserve"> </w:t>
      </w:r>
      <w:r>
        <w:t>gifts</w:t>
      </w:r>
      <w:r>
        <w:rPr>
          <w:spacing w:val="-1"/>
        </w:rPr>
        <w:t xml:space="preserve"> </w:t>
      </w:r>
      <w:r>
        <w:t>will be</w:t>
      </w:r>
      <w:r>
        <w:rPr>
          <w:spacing w:val="-10"/>
        </w:rPr>
        <w:t xml:space="preserve"> </w:t>
      </w:r>
      <w:r>
        <w:t>provided</w:t>
      </w:r>
      <w:r>
        <w:rPr>
          <w:spacing w:val="-4"/>
        </w:rPr>
        <w:t xml:space="preserve"> </w:t>
      </w:r>
      <w:r>
        <w:t>to</w:t>
      </w:r>
      <w:r>
        <w:rPr>
          <w:spacing w:val="-5"/>
        </w:rPr>
        <w:t xml:space="preserve"> </w:t>
      </w:r>
      <w:r>
        <w:rPr>
          <w:spacing w:val="-2"/>
        </w:rPr>
        <w:t>respondents.</w:t>
      </w:r>
    </w:p>
    <w:p>
      <w:pPr>
        <w:pStyle w:val="ListParagraph"/>
        <w:numPr>
          <w:ilvl w:val="1"/>
          <w:numId w:val="1"/>
        </w:numPr>
        <w:tabs>
          <w:tab w:val="left" w:pos="787"/>
        </w:tabs>
        <w:spacing w:before="237" w:after="0" w:line="240" w:lineRule="auto"/>
        <w:ind w:left="787" w:right="0" w:hanging="547"/>
        <w:jc w:val="left"/>
        <w:rPr>
          <w:i/>
          <w:sz w:val="24"/>
        </w:rPr>
      </w:pPr>
      <w:bookmarkStart w:id="12" w:name="10. Confidentiality "/>
      <w:bookmarkEnd w:id="12"/>
      <w:r>
        <w:rPr>
          <w:i/>
          <w:spacing w:val="-2"/>
          <w:sz w:val="24"/>
        </w:rPr>
        <w:t>Confidentiality</w:t>
      </w:r>
    </w:p>
    <w:p>
      <w:pPr>
        <w:pStyle w:val="BodyText"/>
        <w:spacing w:before="171"/>
        <w:ind w:left="240" w:right="229"/>
      </w:pPr>
      <w:r>
        <w:t>All information collected will be kept private in accordance with regulations at 45 CFR 155.260, Privacy</w:t>
      </w:r>
      <w:r>
        <w:rPr>
          <w:spacing w:val="-4"/>
        </w:rPr>
        <w:t xml:space="preserve"> </w:t>
      </w:r>
      <w:r>
        <w:t>and</w:t>
      </w:r>
      <w:r>
        <w:rPr>
          <w:spacing w:val="-4"/>
        </w:rPr>
        <w:t xml:space="preserve"> </w:t>
      </w:r>
      <w:r>
        <w:t>Security</w:t>
      </w:r>
      <w:r>
        <w:rPr>
          <w:spacing w:val="-4"/>
        </w:rPr>
        <w:t xml:space="preserve"> </w:t>
      </w:r>
      <w:r>
        <w:t>of</w:t>
      </w:r>
      <w:r>
        <w:rPr>
          <w:spacing w:val="-5"/>
        </w:rPr>
        <w:t xml:space="preserve"> </w:t>
      </w:r>
      <w:r>
        <w:t>Personally</w:t>
      </w:r>
      <w:r>
        <w:rPr>
          <w:spacing w:val="-2"/>
        </w:rPr>
        <w:t xml:space="preserve"> </w:t>
      </w:r>
      <w:r>
        <w:t>Identifiable</w:t>
      </w:r>
      <w:r>
        <w:rPr>
          <w:spacing w:val="-3"/>
        </w:rPr>
        <w:t xml:space="preserve"> </w:t>
      </w:r>
      <w:r>
        <w:t>Information.</w:t>
      </w:r>
      <w:r>
        <w:rPr>
          <w:spacing w:val="-4"/>
        </w:rPr>
        <w:t xml:space="preserve"> </w:t>
      </w:r>
      <w:r>
        <w:t>Pursuant</w:t>
      </w:r>
      <w:r>
        <w:rPr>
          <w:spacing w:val="-4"/>
        </w:rPr>
        <w:t xml:space="preserve"> </w:t>
      </w:r>
      <w:r>
        <w:t>to</w:t>
      </w:r>
      <w:r>
        <w:rPr>
          <w:spacing w:val="-4"/>
        </w:rPr>
        <w:t xml:space="preserve"> </w:t>
      </w:r>
      <w:r>
        <w:t>this</w:t>
      </w:r>
      <w:r>
        <w:rPr>
          <w:spacing w:val="-4"/>
        </w:rPr>
        <w:t xml:space="preserve"> </w:t>
      </w:r>
      <w:r>
        <w:t>regulation,</w:t>
      </w:r>
      <w:r>
        <w:rPr>
          <w:spacing w:val="-4"/>
        </w:rPr>
        <w:t xml:space="preserve"> </w:t>
      </w:r>
      <w:r>
        <w:t>Exchanges may only use or disclose personally identifiable information to the extent that such information is necessary to carry out their statutory and regulatory mandated functions.</w:t>
      </w:r>
    </w:p>
    <w:p>
      <w:pPr>
        <w:pStyle w:val="ListParagraph"/>
        <w:numPr>
          <w:ilvl w:val="1"/>
          <w:numId w:val="1"/>
        </w:numPr>
        <w:tabs>
          <w:tab w:val="left" w:pos="787"/>
        </w:tabs>
        <w:spacing w:before="240" w:after="0" w:line="240" w:lineRule="auto"/>
        <w:ind w:left="787" w:right="0" w:hanging="547"/>
        <w:jc w:val="left"/>
        <w:rPr>
          <w:i/>
          <w:sz w:val="24"/>
        </w:rPr>
      </w:pPr>
      <w:bookmarkStart w:id="13" w:name="11. Sensitive Questions "/>
      <w:bookmarkEnd w:id="13"/>
      <w:r>
        <w:rPr>
          <w:i/>
          <w:sz w:val="24"/>
        </w:rPr>
        <w:t>Sensitive</w:t>
      </w:r>
      <w:r>
        <w:rPr>
          <w:i/>
          <w:spacing w:val="-4"/>
          <w:sz w:val="24"/>
        </w:rPr>
        <w:t xml:space="preserve"> </w:t>
      </w:r>
      <w:r>
        <w:rPr>
          <w:i/>
          <w:spacing w:val="-2"/>
          <w:sz w:val="24"/>
        </w:rPr>
        <w:t>Questions</w:t>
      </w:r>
    </w:p>
    <w:p>
      <w:pPr>
        <w:pStyle w:val="BodyText"/>
        <w:ind w:left="240"/>
      </w:pPr>
      <w:r>
        <w:t>There</w:t>
      </w:r>
      <w:r>
        <w:rPr>
          <w:spacing w:val="-10"/>
        </w:rPr>
        <w:t xml:space="preserve"> </w:t>
      </w:r>
      <w:r>
        <w:t>are</w:t>
      </w:r>
      <w:r>
        <w:rPr>
          <w:spacing w:val="-8"/>
        </w:rPr>
        <w:t xml:space="preserve"> </w:t>
      </w:r>
      <w:r>
        <w:t>no</w:t>
      </w:r>
      <w:r>
        <w:rPr>
          <w:spacing w:val="-1"/>
        </w:rPr>
        <w:t xml:space="preserve"> </w:t>
      </w:r>
      <w:r>
        <w:t>sensitive</w:t>
      </w:r>
      <w:r>
        <w:rPr>
          <w:spacing w:val="-10"/>
        </w:rPr>
        <w:t xml:space="preserve"> </w:t>
      </w:r>
      <w:r>
        <w:t>questions</w:t>
      </w:r>
      <w:r>
        <w:rPr>
          <w:spacing w:val="-1"/>
        </w:rPr>
        <w:t xml:space="preserve"> </w:t>
      </w:r>
      <w:r>
        <w:t>included</w:t>
      </w:r>
      <w:r>
        <w:rPr>
          <w:spacing w:val="-5"/>
        </w:rPr>
        <w:t xml:space="preserve"> </w:t>
      </w:r>
      <w:r>
        <w:t>in</w:t>
      </w:r>
      <w:r>
        <w:rPr>
          <w:spacing w:val="-7"/>
        </w:rPr>
        <w:t xml:space="preserve"> </w:t>
      </w:r>
      <w:r>
        <w:t>this</w:t>
      </w:r>
      <w:r>
        <w:rPr>
          <w:spacing w:val="-4"/>
        </w:rPr>
        <w:t xml:space="preserve"> </w:t>
      </w:r>
      <w:r>
        <w:t>information</w:t>
      </w:r>
      <w:r>
        <w:rPr>
          <w:spacing w:val="-5"/>
        </w:rPr>
        <w:t xml:space="preserve"> </w:t>
      </w:r>
      <w:r>
        <w:t>collection</w:t>
      </w:r>
      <w:r>
        <w:rPr>
          <w:spacing w:val="-4"/>
        </w:rPr>
        <w:t xml:space="preserve"> </w:t>
      </w:r>
      <w:r>
        <w:rPr>
          <w:spacing w:val="-2"/>
        </w:rPr>
        <w:t>effort.</w:t>
      </w:r>
    </w:p>
    <w:p>
      <w:pPr>
        <w:pStyle w:val="ListParagraph"/>
        <w:numPr>
          <w:ilvl w:val="1"/>
          <w:numId w:val="1"/>
        </w:numPr>
        <w:tabs>
          <w:tab w:val="left" w:pos="787"/>
        </w:tabs>
        <w:spacing w:before="240" w:after="0" w:line="240" w:lineRule="auto"/>
        <w:ind w:left="787" w:right="0" w:hanging="547"/>
        <w:jc w:val="left"/>
        <w:rPr>
          <w:i/>
          <w:sz w:val="24"/>
        </w:rPr>
      </w:pPr>
      <w:bookmarkStart w:id="14" w:name="12. Burden Estimates (Hours &amp; Wages) "/>
      <w:bookmarkEnd w:id="14"/>
      <w:r>
        <w:rPr>
          <w:i/>
          <w:sz w:val="24"/>
        </w:rPr>
        <w:t>Burden</w:t>
      </w:r>
      <w:r>
        <w:rPr>
          <w:i/>
          <w:spacing w:val="-3"/>
          <w:sz w:val="24"/>
        </w:rPr>
        <w:t xml:space="preserve"> </w:t>
      </w:r>
      <w:r>
        <w:rPr>
          <w:i/>
          <w:sz w:val="24"/>
        </w:rPr>
        <w:t>Estimates</w:t>
      </w:r>
      <w:r>
        <w:rPr>
          <w:i/>
          <w:spacing w:val="-2"/>
          <w:sz w:val="24"/>
        </w:rPr>
        <w:t xml:space="preserve"> </w:t>
      </w:r>
      <w:r>
        <w:rPr>
          <w:i/>
          <w:sz w:val="24"/>
        </w:rPr>
        <w:t>(Hours</w:t>
      </w:r>
      <w:r>
        <w:rPr>
          <w:i/>
          <w:spacing w:val="-1"/>
          <w:sz w:val="24"/>
        </w:rPr>
        <w:t xml:space="preserve"> </w:t>
      </w:r>
      <w:r>
        <w:rPr>
          <w:i/>
          <w:sz w:val="24"/>
        </w:rPr>
        <w:t>&amp;</w:t>
      </w:r>
      <w:r>
        <w:rPr>
          <w:i/>
          <w:spacing w:val="-2"/>
          <w:sz w:val="24"/>
        </w:rPr>
        <w:t xml:space="preserve"> Wages)</w:t>
      </w:r>
    </w:p>
    <w:p>
      <w:pPr>
        <w:pStyle w:val="BodyText"/>
        <w:spacing w:before="171"/>
        <w:ind w:left="240" w:right="229"/>
      </w:pPr>
      <w:r>
        <w:t>The following section of this document contain estimates of burden imposed by the associated information collection requirements. Average labor costs (including 100 percent fringe benefits) used</w:t>
      </w:r>
      <w:r>
        <w:rPr>
          <w:spacing w:val="-2"/>
        </w:rPr>
        <w:t xml:space="preserve"> </w:t>
      </w:r>
      <w:r>
        <w:t>to</w:t>
      </w:r>
      <w:r>
        <w:rPr>
          <w:spacing w:val="-2"/>
        </w:rPr>
        <w:t xml:space="preserve"> </w:t>
      </w:r>
      <w:r>
        <w:t>estimate</w:t>
      </w:r>
      <w:r>
        <w:rPr>
          <w:spacing w:val="-3"/>
        </w:rPr>
        <w:t xml:space="preserve"> </w:t>
      </w:r>
      <w:r>
        <w:t>the</w:t>
      </w:r>
      <w:r>
        <w:rPr>
          <w:spacing w:val="-3"/>
        </w:rPr>
        <w:t xml:space="preserve"> </w:t>
      </w:r>
      <w:r>
        <w:t>costs are</w:t>
      </w:r>
      <w:r>
        <w:rPr>
          <w:spacing w:val="-3"/>
        </w:rPr>
        <w:t xml:space="preserve"> </w:t>
      </w:r>
      <w:r>
        <w:t>calculated</w:t>
      </w:r>
      <w:r>
        <w:rPr>
          <w:spacing w:val="-2"/>
        </w:rPr>
        <w:t xml:space="preserve"> </w:t>
      </w:r>
      <w:r>
        <w:t>using</w:t>
      </w:r>
      <w:r>
        <w:rPr>
          <w:spacing w:val="-2"/>
        </w:rPr>
        <w:t xml:space="preserve"> </w:t>
      </w:r>
      <w:r>
        <w:t>data</w:t>
      </w:r>
      <w:r>
        <w:rPr>
          <w:spacing w:val="-1"/>
        </w:rPr>
        <w:t xml:space="preserve"> </w:t>
      </w:r>
      <w:r>
        <w:t>available</w:t>
      </w:r>
      <w:r>
        <w:rPr>
          <w:spacing w:val="-3"/>
        </w:rPr>
        <w:t xml:space="preserve"> </w:t>
      </w:r>
      <w:r>
        <w:t>from</w:t>
      </w:r>
      <w:r>
        <w:rPr>
          <w:spacing w:val="-2"/>
        </w:rPr>
        <w:t xml:space="preserve"> </w:t>
      </w:r>
      <w:r>
        <w:t>the</w:t>
      </w:r>
      <w:r>
        <w:rPr>
          <w:spacing w:val="-3"/>
        </w:rPr>
        <w:t xml:space="preserve"> </w:t>
      </w:r>
      <w:r>
        <w:t>May 2024</w:t>
      </w:r>
      <w:r>
        <w:rPr>
          <w:spacing w:val="-2"/>
        </w:rPr>
        <w:t xml:space="preserve"> </w:t>
      </w:r>
      <w:r>
        <w:t>National Industry-Specific</w:t>
      </w:r>
      <w:r>
        <w:rPr>
          <w:spacing w:val="-5"/>
        </w:rPr>
        <w:t xml:space="preserve"> </w:t>
      </w:r>
      <w:r>
        <w:t>Occupational</w:t>
      </w:r>
      <w:r>
        <w:rPr>
          <w:spacing w:val="-1"/>
        </w:rPr>
        <w:t xml:space="preserve"> </w:t>
      </w:r>
      <w:r>
        <w:t>Employment</w:t>
      </w:r>
      <w:r>
        <w:rPr>
          <w:spacing w:val="-2"/>
        </w:rPr>
        <w:t xml:space="preserve"> </w:t>
      </w:r>
      <w:r>
        <w:t>and</w:t>
      </w:r>
      <w:r>
        <w:rPr>
          <w:spacing w:val="-1"/>
        </w:rPr>
        <w:t xml:space="preserve"> </w:t>
      </w:r>
      <w:r>
        <w:t>Wage</w:t>
      </w:r>
      <w:r>
        <w:rPr>
          <w:spacing w:val="-3"/>
        </w:rPr>
        <w:t xml:space="preserve"> </w:t>
      </w:r>
      <w:r>
        <w:t>Estimates</w:t>
      </w:r>
      <w:r>
        <w:rPr>
          <w:spacing w:val="-1"/>
        </w:rPr>
        <w:t xml:space="preserve"> </w:t>
      </w:r>
      <w:r>
        <w:t>from</w:t>
      </w:r>
      <w:r>
        <w:rPr>
          <w:spacing w:val="-2"/>
        </w:rPr>
        <w:t xml:space="preserve"> </w:t>
      </w:r>
      <w:r>
        <w:t>the</w:t>
      </w:r>
      <w:r>
        <w:rPr>
          <w:spacing w:val="-2"/>
        </w:rPr>
        <w:t xml:space="preserve"> </w:t>
      </w:r>
      <w:r>
        <w:t>Bureau of</w:t>
      </w:r>
      <w:r>
        <w:rPr>
          <w:spacing w:val="-3"/>
        </w:rPr>
        <w:t xml:space="preserve"> </w:t>
      </w:r>
      <w:r>
        <w:t>Labor</w:t>
      </w:r>
      <w:r>
        <w:rPr>
          <w:spacing w:val="-2"/>
        </w:rPr>
        <w:t xml:space="preserve"> </w:t>
      </w:r>
      <w:r>
        <w:t>Statistics</w:t>
      </w:r>
      <w:r>
        <w:rPr>
          <w:spacing w:val="-1"/>
        </w:rPr>
        <w:t xml:space="preserve"> </w:t>
      </w:r>
      <w:r>
        <w:rPr>
          <w:spacing w:val="-2"/>
        </w:rPr>
        <w:t>(BLS)</w:t>
      </w:r>
    </w:p>
    <w:p>
      <w:pPr>
        <w:pStyle w:val="BodyText"/>
        <w:spacing w:after="0"/>
        <w:sectPr>
          <w:pgSz w:w="12240" w:h="15840"/>
          <w:pgMar w:top="1560" w:right="1080" w:bottom="1380" w:left="1080" w:header="0" w:footer="1183"/>
          <w:cols w:space="720"/>
        </w:sectPr>
      </w:pPr>
    </w:p>
    <w:p>
      <w:pPr>
        <w:pStyle w:val="BodyText"/>
        <w:spacing w:before="78"/>
        <w:ind w:left="240" w:right="229"/>
      </w:pPr>
      <w:r>
        <w:t>website:</w:t>
      </w:r>
      <w:r>
        <w:rPr>
          <w:spacing w:val="-4"/>
        </w:rPr>
        <w:t xml:space="preserve"> </w:t>
      </w:r>
      <w:hyperlink r:id="rId5">
        <w:r>
          <w:rPr>
            <w:color w:val="0000FF"/>
            <w:u w:val="single" w:color="0000FF"/>
          </w:rPr>
          <w:t>https://data.bls.gov/oes/#/industry/000000</w:t>
        </w:r>
        <w:r>
          <w:rPr>
            <w:u w:val="none"/>
          </w:rPr>
          <w:t>.</w:t>
        </w:r>
      </w:hyperlink>
      <w:r>
        <w:rPr>
          <w:spacing w:val="-4"/>
          <w:u w:val="none"/>
        </w:rPr>
        <w:t xml:space="preserve"> </w:t>
      </w:r>
      <w:r>
        <w:rPr>
          <w:u w:val="none"/>
        </w:rPr>
        <w:t>The</w:t>
      </w:r>
      <w:r>
        <w:rPr>
          <w:spacing w:val="-5"/>
          <w:u w:val="none"/>
        </w:rPr>
        <w:t xml:space="preserve"> </w:t>
      </w:r>
      <w:r>
        <w:rPr>
          <w:u w:val="none"/>
        </w:rPr>
        <w:t>adjusted</w:t>
      </w:r>
      <w:r>
        <w:rPr>
          <w:spacing w:val="-4"/>
          <w:u w:val="none"/>
        </w:rPr>
        <w:t xml:space="preserve"> </w:t>
      </w:r>
      <w:r>
        <w:rPr>
          <w:u w:val="none"/>
        </w:rPr>
        <w:t>hourly</w:t>
      </w:r>
      <w:r>
        <w:rPr>
          <w:spacing w:val="-11"/>
          <w:u w:val="none"/>
        </w:rPr>
        <w:t xml:space="preserve"> </w:t>
      </w:r>
      <w:r>
        <w:rPr>
          <w:u w:val="none"/>
        </w:rPr>
        <w:t>wage</w:t>
      </w:r>
      <w:r>
        <w:rPr>
          <w:spacing w:val="-8"/>
          <w:u w:val="none"/>
        </w:rPr>
        <w:t xml:space="preserve"> </w:t>
      </w:r>
      <w:r>
        <w:rPr>
          <w:u w:val="none"/>
        </w:rPr>
        <w:t>is</w:t>
      </w:r>
      <w:r>
        <w:rPr>
          <w:spacing w:val="-4"/>
          <w:u w:val="none"/>
        </w:rPr>
        <w:t xml:space="preserve"> </w:t>
      </w:r>
      <w:r>
        <w:rPr>
          <w:u w:val="none"/>
        </w:rPr>
        <w:t>the</w:t>
      </w:r>
      <w:r>
        <w:rPr>
          <w:spacing w:val="-8"/>
          <w:u w:val="none"/>
        </w:rPr>
        <w:t xml:space="preserve"> </w:t>
      </w:r>
      <w:r>
        <w:rPr>
          <w:u w:val="none"/>
        </w:rPr>
        <w:t>total</w:t>
      </w:r>
      <w:r>
        <w:rPr>
          <w:spacing w:val="-6"/>
          <w:u w:val="none"/>
        </w:rPr>
        <w:t xml:space="preserve"> </w:t>
      </w:r>
      <w:r>
        <w:rPr>
          <w:u w:val="none"/>
        </w:rPr>
        <w:t>of</w:t>
      </w:r>
      <w:r>
        <w:rPr>
          <w:spacing w:val="-8"/>
          <w:u w:val="none"/>
        </w:rPr>
        <w:t xml:space="preserve"> </w:t>
      </w:r>
      <w:r>
        <w:rPr>
          <w:u w:val="none"/>
        </w:rPr>
        <w:t>the median hourly wage plus 100% fringe benefit rate, see Table 1.</w:t>
      </w:r>
    </w:p>
    <w:p>
      <w:pPr>
        <w:pStyle w:val="Heading2"/>
        <w:ind w:right="229"/>
      </w:pPr>
      <w:r>
        <w:rPr>
          <w:spacing w:val="-2"/>
        </w:rPr>
        <w:t>Table</w:t>
      </w:r>
      <w:r>
        <w:rPr>
          <w:spacing w:val="-10"/>
        </w:rPr>
        <w:t xml:space="preserve"> </w:t>
      </w:r>
      <w:r>
        <w:rPr>
          <w:spacing w:val="-2"/>
        </w:rPr>
        <w:t>1.</w:t>
      </w:r>
      <w:r>
        <w:rPr>
          <w:spacing w:val="-6"/>
        </w:rPr>
        <w:t xml:space="preserve"> </w:t>
      </w:r>
      <w:r>
        <w:rPr>
          <w:spacing w:val="-2"/>
        </w:rPr>
        <w:t>Adjusted</w:t>
      </w:r>
      <w:r>
        <w:rPr>
          <w:spacing w:val="-5"/>
        </w:rPr>
        <w:t xml:space="preserve"> </w:t>
      </w:r>
      <w:r>
        <w:rPr>
          <w:spacing w:val="-2"/>
        </w:rPr>
        <w:t>Hourly</w:t>
      </w:r>
      <w:r>
        <w:rPr>
          <w:spacing w:val="-6"/>
        </w:rPr>
        <w:t xml:space="preserve"> </w:t>
      </w:r>
      <w:r>
        <w:rPr>
          <w:spacing w:val="-2"/>
        </w:rPr>
        <w:t>Wages</w:t>
      </w:r>
      <w:r>
        <w:rPr>
          <w:spacing w:val="-4"/>
        </w:rPr>
        <w:t xml:space="preserve"> </w:t>
      </w:r>
      <w:r>
        <w:rPr>
          <w:spacing w:val="-2"/>
        </w:rPr>
        <w:t>Used</w:t>
      </w:r>
      <w:r>
        <w:rPr>
          <w:spacing w:val="-5"/>
        </w:rPr>
        <w:t xml:space="preserve"> </w:t>
      </w:r>
      <w:r>
        <w:rPr>
          <w:spacing w:val="-2"/>
        </w:rPr>
        <w:t>in</w:t>
      </w:r>
      <w:r>
        <w:rPr>
          <w:spacing w:val="-5"/>
        </w:rPr>
        <w:t xml:space="preserve"> </w:t>
      </w:r>
      <w:r>
        <w:rPr>
          <w:spacing w:val="-2"/>
        </w:rPr>
        <w:t>Burden</w:t>
      </w:r>
      <w:r>
        <w:rPr>
          <w:spacing w:val="-5"/>
        </w:rPr>
        <w:t xml:space="preserve"> </w:t>
      </w:r>
      <w:r>
        <w:rPr>
          <w:spacing w:val="-2"/>
        </w:rPr>
        <w:t>Estimates</w:t>
      </w:r>
      <w:r>
        <w:rPr>
          <w:spacing w:val="-4"/>
        </w:rPr>
        <w:t xml:space="preserve"> </w:t>
      </w:r>
      <w:r>
        <w:rPr>
          <w:spacing w:val="-2"/>
        </w:rPr>
        <w:t>for</w:t>
      </w:r>
      <w:r>
        <w:rPr>
          <w:spacing w:val="-5"/>
        </w:rPr>
        <w:t xml:space="preserve"> </w:t>
      </w:r>
      <w:r>
        <w:rPr>
          <w:spacing w:val="-2"/>
        </w:rPr>
        <w:t>the</w:t>
      </w:r>
      <w:r>
        <w:rPr>
          <w:spacing w:val="-5"/>
        </w:rPr>
        <w:t xml:space="preserve"> </w:t>
      </w:r>
      <w:r>
        <w:rPr>
          <w:spacing w:val="-2"/>
        </w:rPr>
        <w:t>Provider</w:t>
      </w:r>
      <w:r>
        <w:rPr>
          <w:spacing w:val="-16"/>
        </w:rPr>
        <w:t xml:space="preserve"> </w:t>
      </w:r>
      <w:r>
        <w:rPr>
          <w:spacing w:val="-2"/>
        </w:rPr>
        <w:t>Network</w:t>
      </w:r>
      <w:r>
        <w:rPr>
          <w:spacing w:val="-19"/>
        </w:rPr>
        <w:t xml:space="preserve"> </w:t>
      </w:r>
      <w:r>
        <w:rPr>
          <w:spacing w:val="-2"/>
        </w:rPr>
        <w:t xml:space="preserve">Coverage </w:t>
      </w:r>
      <w:r>
        <w:t>Data Collection</w:t>
      </w:r>
    </w:p>
    <w:p>
      <w:pPr>
        <w:pStyle w:val="BodyText"/>
        <w:spacing w:before="10"/>
        <w:ind w:left="0"/>
        <w:rPr>
          <w:b/>
          <w:sz w:val="14"/>
        </w:rPr>
      </w:pPr>
    </w:p>
    <w:tbl>
      <w:tblPr>
        <w:tblStyle w:val="TableNormal"/>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96"/>
        <w:gridCol w:w="1586"/>
        <w:gridCol w:w="1586"/>
        <w:gridCol w:w="1773"/>
        <w:gridCol w:w="1867"/>
      </w:tblGrid>
      <w:tr>
        <w:tblPrEx>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85"/>
          <w:jc w:val="left"/>
        </w:trPr>
        <w:tc>
          <w:tcPr>
            <w:tcW w:w="2796" w:type="dxa"/>
          </w:tcPr>
          <w:p>
            <w:pPr>
              <w:pStyle w:val="TableParagraph"/>
              <w:ind w:left="71"/>
              <w:jc w:val="left"/>
              <w:rPr>
                <w:b/>
                <w:sz w:val="24"/>
              </w:rPr>
            </w:pPr>
            <w:r>
              <w:rPr>
                <w:b/>
                <w:sz w:val="24"/>
              </w:rPr>
              <w:t>Occupational</w:t>
            </w:r>
            <w:r>
              <w:rPr>
                <w:b/>
                <w:spacing w:val="-6"/>
                <w:sz w:val="24"/>
              </w:rPr>
              <w:t xml:space="preserve"> </w:t>
            </w:r>
            <w:r>
              <w:rPr>
                <w:b/>
                <w:spacing w:val="-2"/>
                <w:sz w:val="24"/>
              </w:rPr>
              <w:t>Title</w:t>
            </w:r>
          </w:p>
        </w:tc>
        <w:tc>
          <w:tcPr>
            <w:tcW w:w="1586" w:type="dxa"/>
          </w:tcPr>
          <w:p>
            <w:pPr>
              <w:pStyle w:val="TableParagraph"/>
              <w:ind w:left="532" w:right="108" w:hanging="413"/>
              <w:jc w:val="left"/>
              <w:rPr>
                <w:b/>
                <w:sz w:val="24"/>
              </w:rPr>
            </w:pPr>
            <w:r>
              <w:rPr>
                <w:b/>
                <w:spacing w:val="-4"/>
                <w:sz w:val="24"/>
              </w:rPr>
              <w:t>Occupational Code</w:t>
            </w:r>
          </w:p>
        </w:tc>
        <w:tc>
          <w:tcPr>
            <w:tcW w:w="1586" w:type="dxa"/>
          </w:tcPr>
          <w:p>
            <w:pPr>
              <w:pStyle w:val="TableParagraph"/>
              <w:ind w:left="103" w:right="89" w:hanging="5"/>
              <w:rPr>
                <w:b/>
                <w:sz w:val="24"/>
              </w:rPr>
            </w:pPr>
            <w:r>
              <w:rPr>
                <w:b/>
                <w:spacing w:val="-2"/>
                <w:sz w:val="24"/>
              </w:rPr>
              <w:t xml:space="preserve">Median </w:t>
            </w:r>
            <w:r>
              <w:rPr>
                <w:b/>
                <w:sz w:val="24"/>
              </w:rPr>
              <w:t>Hourly</w:t>
            </w:r>
            <w:r>
              <w:rPr>
                <w:b/>
                <w:spacing w:val="-15"/>
                <w:sz w:val="24"/>
              </w:rPr>
              <w:t xml:space="preserve"> </w:t>
            </w:r>
            <w:r>
              <w:rPr>
                <w:b/>
                <w:sz w:val="24"/>
              </w:rPr>
              <w:t xml:space="preserve">Wage </w:t>
            </w:r>
            <w:r>
              <w:rPr>
                <w:b/>
                <w:spacing w:val="-2"/>
                <w:sz w:val="24"/>
              </w:rPr>
              <w:t>($/hour)</w:t>
            </w:r>
          </w:p>
        </w:tc>
        <w:tc>
          <w:tcPr>
            <w:tcW w:w="1773" w:type="dxa"/>
          </w:tcPr>
          <w:p>
            <w:pPr>
              <w:pStyle w:val="TableParagraph"/>
              <w:spacing w:before="37"/>
              <w:ind w:left="12" w:right="1"/>
              <w:rPr>
                <w:b/>
                <w:sz w:val="24"/>
              </w:rPr>
            </w:pPr>
            <w:r>
              <w:rPr>
                <w:b/>
                <w:sz w:val="24"/>
              </w:rPr>
              <w:t>Fringe</w:t>
            </w:r>
            <w:r>
              <w:rPr>
                <w:b/>
                <w:spacing w:val="-15"/>
                <w:sz w:val="24"/>
              </w:rPr>
              <w:t xml:space="preserve"> </w:t>
            </w:r>
            <w:r>
              <w:rPr>
                <w:b/>
                <w:sz w:val="24"/>
              </w:rPr>
              <w:t xml:space="preserve">Benefits and Overhead </w:t>
            </w:r>
            <w:r>
              <w:rPr>
                <w:b/>
                <w:spacing w:val="-2"/>
                <w:sz w:val="24"/>
              </w:rPr>
              <w:t>(100%)</w:t>
            </w:r>
          </w:p>
          <w:p>
            <w:pPr>
              <w:pStyle w:val="TableParagraph"/>
              <w:spacing w:before="0"/>
              <w:ind w:left="12"/>
              <w:rPr>
                <w:b/>
                <w:sz w:val="24"/>
              </w:rPr>
            </w:pPr>
            <w:r>
              <w:rPr>
                <w:b/>
                <w:spacing w:val="-2"/>
                <w:sz w:val="24"/>
              </w:rPr>
              <w:t>($/hour)</w:t>
            </w:r>
          </w:p>
        </w:tc>
        <w:tc>
          <w:tcPr>
            <w:tcW w:w="1867" w:type="dxa"/>
          </w:tcPr>
          <w:p>
            <w:pPr>
              <w:pStyle w:val="TableParagraph"/>
              <w:ind w:left="514" w:hanging="437"/>
              <w:jc w:val="left"/>
              <w:rPr>
                <w:b/>
                <w:sz w:val="24"/>
              </w:rPr>
            </w:pPr>
            <w:r>
              <w:rPr>
                <w:b/>
                <w:spacing w:val="-2"/>
                <w:sz w:val="24"/>
              </w:rPr>
              <w:t>Adjusted</w:t>
            </w:r>
            <w:r>
              <w:rPr>
                <w:b/>
                <w:spacing w:val="-16"/>
                <w:sz w:val="24"/>
              </w:rPr>
              <w:t xml:space="preserve"> </w:t>
            </w:r>
            <w:r>
              <w:rPr>
                <w:b/>
                <w:spacing w:val="-2"/>
                <w:sz w:val="24"/>
              </w:rPr>
              <w:t xml:space="preserve">Hourly </w:t>
            </w:r>
            <w:r>
              <w:rPr>
                <w:b/>
                <w:spacing w:val="-4"/>
                <w:sz w:val="24"/>
              </w:rPr>
              <w:t xml:space="preserve">Wage </w:t>
            </w:r>
            <w:r>
              <w:rPr>
                <w:b/>
                <w:spacing w:val="-2"/>
                <w:sz w:val="24"/>
              </w:rPr>
              <w:t>($/hour)</w:t>
            </w:r>
          </w:p>
        </w:tc>
      </w:tr>
      <w:tr>
        <w:tblPrEx>
          <w:tblW w:w="0" w:type="auto"/>
          <w:jc w:val="left"/>
          <w:tblInd w:w="250" w:type="dxa"/>
          <w:tblLayout w:type="fixed"/>
          <w:tblCellMar>
            <w:top w:w="0" w:type="dxa"/>
            <w:left w:w="0" w:type="dxa"/>
            <w:bottom w:w="0" w:type="dxa"/>
            <w:right w:w="0" w:type="dxa"/>
          </w:tblCellMar>
          <w:tblLook w:val="01E0"/>
        </w:tblPrEx>
        <w:trPr>
          <w:trHeight w:val="333"/>
          <w:jc w:val="left"/>
        </w:trPr>
        <w:tc>
          <w:tcPr>
            <w:tcW w:w="2796" w:type="dxa"/>
          </w:tcPr>
          <w:p>
            <w:pPr>
              <w:pStyle w:val="TableParagraph"/>
              <w:spacing w:before="20"/>
              <w:ind w:left="71"/>
              <w:jc w:val="left"/>
              <w:rPr>
                <w:sz w:val="24"/>
              </w:rPr>
            </w:pPr>
            <w:r>
              <w:rPr>
                <w:sz w:val="24"/>
              </w:rPr>
              <w:t>Database</w:t>
            </w:r>
            <w:r>
              <w:rPr>
                <w:spacing w:val="-5"/>
                <w:sz w:val="24"/>
              </w:rPr>
              <w:t xml:space="preserve"> </w:t>
            </w:r>
            <w:r>
              <w:rPr>
                <w:spacing w:val="-2"/>
                <w:sz w:val="24"/>
              </w:rPr>
              <w:t>Administrator</w:t>
            </w:r>
          </w:p>
        </w:tc>
        <w:tc>
          <w:tcPr>
            <w:tcW w:w="1586" w:type="dxa"/>
          </w:tcPr>
          <w:p>
            <w:pPr>
              <w:pStyle w:val="TableParagraph"/>
              <w:spacing w:before="20"/>
              <w:ind w:left="62"/>
              <w:rPr>
                <w:sz w:val="24"/>
              </w:rPr>
            </w:pPr>
            <w:r>
              <w:rPr>
                <w:spacing w:val="-5"/>
                <w:sz w:val="24"/>
              </w:rPr>
              <w:t>15-</w:t>
            </w:r>
            <w:r>
              <w:rPr>
                <w:spacing w:val="-4"/>
                <w:sz w:val="24"/>
              </w:rPr>
              <w:t>1242</w:t>
            </w:r>
          </w:p>
        </w:tc>
        <w:tc>
          <w:tcPr>
            <w:tcW w:w="1586" w:type="dxa"/>
          </w:tcPr>
          <w:p>
            <w:pPr>
              <w:pStyle w:val="TableParagraph"/>
              <w:spacing w:before="20"/>
              <w:ind w:right="431"/>
              <w:jc w:val="right"/>
              <w:rPr>
                <w:sz w:val="24"/>
              </w:rPr>
            </w:pPr>
            <w:r>
              <w:rPr>
                <w:spacing w:val="-2"/>
                <w:sz w:val="24"/>
              </w:rPr>
              <w:t>$50.30</w:t>
            </w:r>
          </w:p>
        </w:tc>
        <w:tc>
          <w:tcPr>
            <w:tcW w:w="1773" w:type="dxa"/>
          </w:tcPr>
          <w:p>
            <w:pPr>
              <w:pStyle w:val="TableParagraph"/>
              <w:spacing w:before="20"/>
              <w:ind w:right="524"/>
              <w:jc w:val="right"/>
              <w:rPr>
                <w:sz w:val="24"/>
              </w:rPr>
            </w:pPr>
            <w:r>
              <w:rPr>
                <w:spacing w:val="-2"/>
                <w:sz w:val="24"/>
              </w:rPr>
              <w:t>$50.30</w:t>
            </w:r>
          </w:p>
        </w:tc>
        <w:tc>
          <w:tcPr>
            <w:tcW w:w="1867" w:type="dxa"/>
          </w:tcPr>
          <w:p>
            <w:pPr>
              <w:pStyle w:val="TableParagraph"/>
              <w:spacing w:before="20"/>
              <w:ind w:left="67" w:right="2"/>
              <w:rPr>
                <w:sz w:val="24"/>
              </w:rPr>
            </w:pPr>
            <w:r>
              <w:rPr>
                <w:spacing w:val="-2"/>
                <w:sz w:val="24"/>
              </w:rPr>
              <w:t>$100.60</w:t>
            </w:r>
          </w:p>
        </w:tc>
      </w:tr>
      <w:tr>
        <w:tblPrEx>
          <w:tblW w:w="0" w:type="auto"/>
          <w:jc w:val="left"/>
          <w:tblInd w:w="250" w:type="dxa"/>
          <w:tblLayout w:type="fixed"/>
          <w:tblCellMar>
            <w:top w:w="0" w:type="dxa"/>
            <w:left w:w="0" w:type="dxa"/>
            <w:bottom w:w="0" w:type="dxa"/>
            <w:right w:w="0" w:type="dxa"/>
          </w:tblCellMar>
          <w:tblLook w:val="01E0"/>
        </w:tblPrEx>
        <w:trPr>
          <w:trHeight w:val="337"/>
          <w:jc w:val="left"/>
        </w:trPr>
        <w:tc>
          <w:tcPr>
            <w:tcW w:w="2796" w:type="dxa"/>
          </w:tcPr>
          <w:p>
            <w:pPr>
              <w:pStyle w:val="TableParagraph"/>
              <w:spacing w:before="23"/>
              <w:ind w:left="71"/>
              <w:jc w:val="left"/>
              <w:rPr>
                <w:sz w:val="24"/>
              </w:rPr>
            </w:pPr>
            <w:r>
              <w:rPr>
                <w:sz w:val="24"/>
              </w:rPr>
              <w:t>Administrative</w:t>
            </w:r>
            <w:r>
              <w:rPr>
                <w:spacing w:val="-11"/>
                <w:sz w:val="24"/>
              </w:rPr>
              <w:t xml:space="preserve"> </w:t>
            </w:r>
            <w:r>
              <w:rPr>
                <w:spacing w:val="-2"/>
                <w:sz w:val="24"/>
              </w:rPr>
              <w:t>Assistant</w:t>
            </w:r>
          </w:p>
        </w:tc>
        <w:tc>
          <w:tcPr>
            <w:tcW w:w="1586" w:type="dxa"/>
          </w:tcPr>
          <w:p>
            <w:pPr>
              <w:pStyle w:val="TableParagraph"/>
              <w:spacing w:before="23"/>
              <w:ind w:left="62"/>
              <w:rPr>
                <w:sz w:val="24"/>
              </w:rPr>
            </w:pPr>
            <w:r>
              <w:rPr>
                <w:spacing w:val="-5"/>
                <w:sz w:val="24"/>
              </w:rPr>
              <w:t>43-</w:t>
            </w:r>
            <w:r>
              <w:rPr>
                <w:spacing w:val="-4"/>
                <w:sz w:val="24"/>
              </w:rPr>
              <w:t>6014</w:t>
            </w:r>
          </w:p>
        </w:tc>
        <w:tc>
          <w:tcPr>
            <w:tcW w:w="1586" w:type="dxa"/>
          </w:tcPr>
          <w:p>
            <w:pPr>
              <w:pStyle w:val="TableParagraph"/>
              <w:spacing w:before="23"/>
              <w:ind w:right="431"/>
              <w:jc w:val="right"/>
              <w:rPr>
                <w:sz w:val="24"/>
              </w:rPr>
            </w:pPr>
            <w:r>
              <w:rPr>
                <w:spacing w:val="-2"/>
                <w:sz w:val="24"/>
              </w:rPr>
              <w:t>$22.26</w:t>
            </w:r>
          </w:p>
        </w:tc>
        <w:tc>
          <w:tcPr>
            <w:tcW w:w="1773" w:type="dxa"/>
          </w:tcPr>
          <w:p>
            <w:pPr>
              <w:pStyle w:val="TableParagraph"/>
              <w:spacing w:before="23"/>
              <w:ind w:right="524"/>
              <w:jc w:val="right"/>
              <w:rPr>
                <w:sz w:val="24"/>
              </w:rPr>
            </w:pPr>
            <w:r>
              <w:rPr>
                <w:spacing w:val="-2"/>
                <w:sz w:val="24"/>
              </w:rPr>
              <w:t>$22.26</w:t>
            </w:r>
          </w:p>
        </w:tc>
        <w:tc>
          <w:tcPr>
            <w:tcW w:w="1867" w:type="dxa"/>
          </w:tcPr>
          <w:p>
            <w:pPr>
              <w:pStyle w:val="TableParagraph"/>
              <w:spacing w:before="23"/>
              <w:ind w:left="67"/>
              <w:rPr>
                <w:sz w:val="24"/>
              </w:rPr>
            </w:pPr>
            <w:r>
              <w:rPr>
                <w:spacing w:val="-2"/>
                <w:sz w:val="24"/>
              </w:rPr>
              <w:t>$44.52</w:t>
            </w:r>
          </w:p>
        </w:tc>
      </w:tr>
      <w:tr>
        <w:tblPrEx>
          <w:tblW w:w="0" w:type="auto"/>
          <w:jc w:val="left"/>
          <w:tblInd w:w="250" w:type="dxa"/>
          <w:tblLayout w:type="fixed"/>
          <w:tblCellMar>
            <w:top w:w="0" w:type="dxa"/>
            <w:left w:w="0" w:type="dxa"/>
            <w:bottom w:w="0" w:type="dxa"/>
            <w:right w:w="0" w:type="dxa"/>
          </w:tblCellMar>
          <w:tblLook w:val="01E0"/>
        </w:tblPrEx>
        <w:trPr>
          <w:trHeight w:val="630"/>
          <w:jc w:val="left"/>
        </w:trPr>
        <w:tc>
          <w:tcPr>
            <w:tcW w:w="2796" w:type="dxa"/>
          </w:tcPr>
          <w:p>
            <w:pPr>
              <w:pStyle w:val="TableParagraph"/>
              <w:spacing w:before="37"/>
              <w:ind w:left="71" w:right="60"/>
              <w:jc w:val="left"/>
              <w:rPr>
                <w:sz w:val="24"/>
              </w:rPr>
            </w:pPr>
            <w:r>
              <w:rPr>
                <w:spacing w:val="-2"/>
                <w:sz w:val="24"/>
              </w:rPr>
              <w:t>Operations</w:t>
            </w:r>
            <w:r>
              <w:rPr>
                <w:spacing w:val="-15"/>
                <w:sz w:val="24"/>
              </w:rPr>
              <w:t xml:space="preserve"> </w:t>
            </w:r>
            <w:r>
              <w:rPr>
                <w:spacing w:val="-2"/>
                <w:sz w:val="24"/>
              </w:rPr>
              <w:t>Research Analyst</w:t>
            </w:r>
          </w:p>
        </w:tc>
        <w:tc>
          <w:tcPr>
            <w:tcW w:w="1586" w:type="dxa"/>
          </w:tcPr>
          <w:p>
            <w:pPr>
              <w:pStyle w:val="TableParagraph"/>
              <w:spacing w:before="176"/>
              <w:ind w:left="62"/>
              <w:rPr>
                <w:sz w:val="24"/>
              </w:rPr>
            </w:pPr>
            <w:r>
              <w:rPr>
                <w:spacing w:val="-5"/>
                <w:sz w:val="24"/>
              </w:rPr>
              <w:t>15-</w:t>
            </w:r>
            <w:r>
              <w:rPr>
                <w:spacing w:val="-4"/>
                <w:sz w:val="24"/>
              </w:rPr>
              <w:t>2031</w:t>
            </w:r>
          </w:p>
        </w:tc>
        <w:tc>
          <w:tcPr>
            <w:tcW w:w="1586" w:type="dxa"/>
          </w:tcPr>
          <w:p>
            <w:pPr>
              <w:pStyle w:val="TableParagraph"/>
              <w:spacing w:before="176"/>
              <w:ind w:right="431"/>
              <w:jc w:val="right"/>
              <w:rPr>
                <w:sz w:val="24"/>
              </w:rPr>
            </w:pPr>
            <w:r>
              <w:rPr>
                <w:spacing w:val="-2"/>
                <w:sz w:val="24"/>
              </w:rPr>
              <w:t>$43.89</w:t>
            </w:r>
          </w:p>
        </w:tc>
        <w:tc>
          <w:tcPr>
            <w:tcW w:w="1773" w:type="dxa"/>
          </w:tcPr>
          <w:p>
            <w:pPr>
              <w:pStyle w:val="TableParagraph"/>
              <w:spacing w:before="176"/>
              <w:ind w:right="524"/>
              <w:jc w:val="right"/>
              <w:rPr>
                <w:sz w:val="24"/>
              </w:rPr>
            </w:pPr>
            <w:r>
              <w:rPr>
                <w:spacing w:val="-2"/>
                <w:sz w:val="24"/>
              </w:rPr>
              <w:t>$43.89</w:t>
            </w:r>
          </w:p>
        </w:tc>
        <w:tc>
          <w:tcPr>
            <w:tcW w:w="1867" w:type="dxa"/>
          </w:tcPr>
          <w:p>
            <w:pPr>
              <w:pStyle w:val="TableParagraph"/>
              <w:spacing w:before="176"/>
              <w:ind w:left="67"/>
              <w:rPr>
                <w:sz w:val="24"/>
              </w:rPr>
            </w:pPr>
            <w:r>
              <w:rPr>
                <w:spacing w:val="-2"/>
                <w:sz w:val="24"/>
              </w:rPr>
              <w:t>$87.78</w:t>
            </w:r>
          </w:p>
        </w:tc>
      </w:tr>
    </w:tbl>
    <w:p>
      <w:pPr>
        <w:pStyle w:val="BodyText"/>
        <w:spacing w:before="171"/>
        <w:ind w:right="299"/>
      </w:pPr>
      <w:r>
        <w:t>Section</w:t>
      </w:r>
      <w:r>
        <w:rPr>
          <w:spacing w:val="-13"/>
        </w:rPr>
        <w:t xml:space="preserve"> </w:t>
      </w:r>
      <w:r>
        <w:t>156.230(d)</w:t>
      </w:r>
      <w:r>
        <w:rPr>
          <w:spacing w:val="-14"/>
        </w:rPr>
        <w:t xml:space="preserve"> </w:t>
      </w:r>
      <w:r>
        <w:t>requires</w:t>
      </w:r>
      <w:r>
        <w:rPr>
          <w:spacing w:val="-11"/>
        </w:rPr>
        <w:t xml:space="preserve"> </w:t>
      </w:r>
      <w:r>
        <w:t>that</w:t>
      </w:r>
      <w:r>
        <w:rPr>
          <w:spacing w:val="-11"/>
        </w:rPr>
        <w:t xml:space="preserve"> </w:t>
      </w:r>
      <w:r>
        <w:t>QHP</w:t>
      </w:r>
      <w:r>
        <w:rPr>
          <w:spacing w:val="-8"/>
        </w:rPr>
        <w:t xml:space="preserve"> </w:t>
      </w:r>
      <w:r>
        <w:t>issuers</w:t>
      </w:r>
      <w:r>
        <w:rPr>
          <w:spacing w:val="-11"/>
        </w:rPr>
        <w:t xml:space="preserve"> </w:t>
      </w:r>
      <w:r>
        <w:t>that</w:t>
      </w:r>
      <w:r>
        <w:rPr>
          <w:spacing w:val="-13"/>
        </w:rPr>
        <w:t xml:space="preserve"> </w:t>
      </w:r>
      <w:r>
        <w:t>use</w:t>
      </w:r>
      <w:r>
        <w:rPr>
          <w:spacing w:val="-15"/>
        </w:rPr>
        <w:t xml:space="preserve"> </w:t>
      </w:r>
      <w:r>
        <w:t>a</w:t>
      </w:r>
      <w:r>
        <w:rPr>
          <w:spacing w:val="-15"/>
        </w:rPr>
        <w:t xml:space="preserve"> </w:t>
      </w:r>
      <w:r>
        <w:t>provider</w:t>
      </w:r>
      <w:r>
        <w:rPr>
          <w:spacing w:val="-15"/>
        </w:rPr>
        <w:t xml:space="preserve"> </w:t>
      </w:r>
      <w:r>
        <w:t>network</w:t>
      </w:r>
      <w:r>
        <w:rPr>
          <w:spacing w:val="-15"/>
        </w:rPr>
        <w:t xml:space="preserve"> </w:t>
      </w:r>
      <w:r>
        <w:t>make</w:t>
      </w:r>
      <w:r>
        <w:rPr>
          <w:spacing w:val="-14"/>
        </w:rPr>
        <w:t xml:space="preserve"> </w:t>
      </w:r>
      <w:r>
        <w:t>a</w:t>
      </w:r>
      <w:r>
        <w:rPr>
          <w:spacing w:val="-7"/>
        </w:rPr>
        <w:t xml:space="preserve"> </w:t>
      </w:r>
      <w:r>
        <w:t>good</w:t>
      </w:r>
      <w:r>
        <w:rPr>
          <w:spacing w:val="-11"/>
        </w:rPr>
        <w:t xml:space="preserve"> </w:t>
      </w:r>
      <w:r>
        <w:t>faith</w:t>
      </w:r>
      <w:r>
        <w:rPr>
          <w:spacing w:val="-11"/>
        </w:rPr>
        <w:t xml:space="preserve"> </w:t>
      </w:r>
      <w:r>
        <w:t>effort</w:t>
      </w:r>
      <w:r>
        <w:rPr>
          <w:spacing w:val="-8"/>
        </w:rPr>
        <w:t xml:space="preserve"> </w:t>
      </w:r>
      <w:r>
        <w:t>to provide written notice of discontinuation of a provider 30 days prior to the effective date of the change</w:t>
      </w:r>
      <w:r>
        <w:rPr>
          <w:spacing w:val="-4"/>
        </w:rPr>
        <w:t xml:space="preserve"> </w:t>
      </w:r>
      <w:r>
        <w:t>or</w:t>
      </w:r>
      <w:r>
        <w:rPr>
          <w:spacing w:val="-3"/>
        </w:rPr>
        <w:t xml:space="preserve"> </w:t>
      </w:r>
      <w:r>
        <w:t>otherwise as</w:t>
      </w:r>
      <w:r>
        <w:rPr>
          <w:spacing w:val="-2"/>
        </w:rPr>
        <w:t xml:space="preserve"> </w:t>
      </w:r>
      <w:r>
        <w:t>soon as practicable, to enrollees who are</w:t>
      </w:r>
      <w:r>
        <w:rPr>
          <w:spacing w:val="-4"/>
        </w:rPr>
        <w:t xml:space="preserve"> </w:t>
      </w:r>
      <w:r>
        <w:t>patients seen on a</w:t>
      </w:r>
      <w:r>
        <w:rPr>
          <w:spacing w:val="-4"/>
        </w:rPr>
        <w:t xml:space="preserve"> </w:t>
      </w:r>
      <w:r>
        <w:t>regular</w:t>
      </w:r>
      <w:r>
        <w:rPr>
          <w:spacing w:val="-1"/>
        </w:rPr>
        <w:t xml:space="preserve"> </w:t>
      </w:r>
      <w:r>
        <w:t>basis by the</w:t>
      </w:r>
      <w:r>
        <w:rPr>
          <w:spacing w:val="-1"/>
        </w:rPr>
        <w:t xml:space="preserve"> </w:t>
      </w:r>
      <w:r>
        <w:t>provider or who receive primary care from the provider whose contract is being discontinued, irrespective</w:t>
      </w:r>
      <w:r>
        <w:rPr>
          <w:spacing w:val="-1"/>
        </w:rPr>
        <w:t xml:space="preserve"> </w:t>
      </w:r>
      <w:r>
        <w:t>of</w:t>
      </w:r>
      <w:r>
        <w:rPr>
          <w:spacing w:val="-1"/>
        </w:rPr>
        <w:t xml:space="preserve"> </w:t>
      </w:r>
      <w:r>
        <w:t>whether</w:t>
      </w:r>
      <w:r>
        <w:rPr>
          <w:spacing w:val="-1"/>
        </w:rPr>
        <w:t xml:space="preserve"> </w:t>
      </w:r>
      <w:r>
        <w:t>the</w:t>
      </w:r>
      <w:r>
        <w:rPr>
          <w:spacing w:val="-1"/>
        </w:rPr>
        <w:t xml:space="preserve"> </w:t>
      </w:r>
      <w:r>
        <w:t>contract is being discontinued due</w:t>
      </w:r>
      <w:r>
        <w:rPr>
          <w:spacing w:val="-1"/>
        </w:rPr>
        <w:t xml:space="preserve"> </w:t>
      </w:r>
      <w:r>
        <w:t>to a</w:t>
      </w:r>
      <w:r>
        <w:rPr>
          <w:spacing w:val="-1"/>
        </w:rPr>
        <w:t xml:space="preserve"> </w:t>
      </w:r>
      <w:r>
        <w:t>termination for</w:t>
      </w:r>
      <w:r>
        <w:rPr>
          <w:spacing w:val="-1"/>
        </w:rPr>
        <w:t xml:space="preserve"> </w:t>
      </w:r>
      <w:r>
        <w:t>cause or</w:t>
      </w:r>
      <w:r>
        <w:rPr>
          <w:spacing w:val="-1"/>
        </w:rPr>
        <w:t xml:space="preserve"> </w:t>
      </w:r>
      <w:r>
        <w:t>without cause, or due to a non- renewal. This is a third-party disclosure requirement. The notification requirement under §156.230(d) is a common practice in the current market as several States, Medicare Advantage, Medicaid Managed Care, and the National Association of Insurance Commissioners’</w:t>
      </w:r>
      <w:r>
        <w:rPr>
          <w:spacing w:val="-2"/>
        </w:rPr>
        <w:t xml:space="preserve"> </w:t>
      </w:r>
      <w:r>
        <w:t>Network</w:t>
      </w:r>
      <w:r>
        <w:rPr>
          <w:spacing w:val="-1"/>
        </w:rPr>
        <w:t xml:space="preserve"> </w:t>
      </w:r>
      <w:r>
        <w:t>Adequacy</w:t>
      </w:r>
      <w:r>
        <w:rPr>
          <w:spacing w:val="-1"/>
        </w:rPr>
        <w:t xml:space="preserve"> </w:t>
      </w:r>
      <w:r>
        <w:t>Model</w:t>
      </w:r>
      <w:r>
        <w:rPr>
          <w:spacing w:val="-1"/>
        </w:rPr>
        <w:t xml:space="preserve"> </w:t>
      </w:r>
      <w:r>
        <w:t>Act</w:t>
      </w:r>
      <w:r>
        <w:rPr>
          <w:spacing w:val="-1"/>
        </w:rPr>
        <w:t xml:space="preserve"> </w:t>
      </w:r>
      <w:r>
        <w:t>have</w:t>
      </w:r>
      <w:r>
        <w:rPr>
          <w:spacing w:val="-2"/>
        </w:rPr>
        <w:t xml:space="preserve"> </w:t>
      </w:r>
      <w:r>
        <w:t>standards</w:t>
      </w:r>
      <w:r>
        <w:rPr>
          <w:spacing w:val="-1"/>
        </w:rPr>
        <w:t xml:space="preserve"> </w:t>
      </w:r>
      <w:r>
        <w:t>regarding</w:t>
      </w:r>
      <w:r>
        <w:rPr>
          <w:spacing w:val="-1"/>
        </w:rPr>
        <w:t xml:space="preserve"> </w:t>
      </w:r>
      <w:r>
        <w:t>enrollee</w:t>
      </w:r>
      <w:r>
        <w:rPr>
          <w:spacing w:val="-2"/>
        </w:rPr>
        <w:t xml:space="preserve"> </w:t>
      </w:r>
      <w:r>
        <w:t>notification</w:t>
      </w:r>
      <w:r>
        <w:rPr>
          <w:spacing w:val="-1"/>
        </w:rPr>
        <w:t xml:space="preserve"> </w:t>
      </w:r>
      <w:r>
        <w:t>of</w:t>
      </w:r>
      <w:r>
        <w:rPr>
          <w:spacing w:val="-2"/>
        </w:rPr>
        <w:t xml:space="preserve"> </w:t>
      </w:r>
      <w:r>
        <w:t>a provider leaving a network. As discussed in the</w:t>
      </w:r>
      <w:r>
        <w:rPr>
          <w:spacing w:val="-3"/>
        </w:rPr>
        <w:t xml:space="preserve"> </w:t>
      </w:r>
      <w:r>
        <w:t>final rule</w:t>
      </w:r>
      <w:r>
        <w:rPr>
          <w:spacing w:val="-5"/>
        </w:rPr>
        <w:t xml:space="preserve"> </w:t>
      </w:r>
      <w:r>
        <w:t>preamble, under</w:t>
      </w:r>
      <w:r>
        <w:rPr>
          <w:spacing w:val="-3"/>
        </w:rPr>
        <w:t xml:space="preserve"> </w:t>
      </w:r>
      <w:r>
        <w:t>State laws,</w:t>
      </w:r>
      <w:r>
        <w:rPr>
          <w:spacing w:val="-2"/>
        </w:rPr>
        <w:t xml:space="preserve"> </w:t>
      </w:r>
      <w:r>
        <w:t>many</w:t>
      </w:r>
      <w:r>
        <w:rPr>
          <w:spacing w:val="-7"/>
        </w:rPr>
        <w:t xml:space="preserve"> </w:t>
      </w:r>
      <w:r>
        <w:t>QHP issuers</w:t>
      </w:r>
      <w:r>
        <w:rPr>
          <w:spacing w:val="-11"/>
        </w:rPr>
        <w:t xml:space="preserve"> </w:t>
      </w:r>
      <w:r>
        <w:t>will</w:t>
      </w:r>
      <w:r>
        <w:rPr>
          <w:spacing w:val="-10"/>
        </w:rPr>
        <w:t xml:space="preserve"> </w:t>
      </w:r>
      <w:r>
        <w:t>already</w:t>
      </w:r>
      <w:r>
        <w:rPr>
          <w:spacing w:val="-3"/>
        </w:rPr>
        <w:t xml:space="preserve"> </w:t>
      </w:r>
      <w:r>
        <w:t>be</w:t>
      </w:r>
      <w:r>
        <w:rPr>
          <w:spacing w:val="-4"/>
        </w:rPr>
        <w:t xml:space="preserve"> </w:t>
      </w:r>
      <w:r>
        <w:t>under</w:t>
      </w:r>
      <w:r>
        <w:rPr>
          <w:spacing w:val="-4"/>
        </w:rPr>
        <w:t xml:space="preserve"> </w:t>
      </w:r>
      <w:r>
        <w:t>this</w:t>
      </w:r>
      <w:r>
        <w:rPr>
          <w:spacing w:val="-3"/>
        </w:rPr>
        <w:t xml:space="preserve"> </w:t>
      </w:r>
      <w:r>
        <w:t>obligation,</w:t>
      </w:r>
      <w:r>
        <w:rPr>
          <w:spacing w:val="-3"/>
        </w:rPr>
        <w:t xml:space="preserve"> </w:t>
      </w:r>
      <w:r>
        <w:t>and</w:t>
      </w:r>
      <w:r>
        <w:rPr>
          <w:spacing w:val="-3"/>
        </w:rPr>
        <w:t xml:space="preserve"> </w:t>
      </w:r>
      <w:r>
        <w:t>therefore,</w:t>
      </w:r>
      <w:r>
        <w:rPr>
          <w:spacing w:val="-3"/>
        </w:rPr>
        <w:t xml:space="preserve"> </w:t>
      </w:r>
      <w:r>
        <w:t>our</w:t>
      </w:r>
      <w:r>
        <w:rPr>
          <w:spacing w:val="-4"/>
        </w:rPr>
        <w:t xml:space="preserve"> </w:t>
      </w:r>
      <w:r>
        <w:t>notification</w:t>
      </w:r>
      <w:r>
        <w:rPr>
          <w:spacing w:val="-3"/>
        </w:rPr>
        <w:t xml:space="preserve"> </w:t>
      </w:r>
      <w:r>
        <w:t>requirements</w:t>
      </w:r>
      <w:r>
        <w:rPr>
          <w:spacing w:val="-3"/>
        </w:rPr>
        <w:t xml:space="preserve"> </w:t>
      </w:r>
      <w:r>
        <w:t>will</w:t>
      </w:r>
      <w:r>
        <w:rPr>
          <w:spacing w:val="-3"/>
        </w:rPr>
        <w:t xml:space="preserve"> </w:t>
      </w:r>
      <w:r>
        <w:t>apply in a more limited fashion. Additionally, we have incorporated stand-alone dental plans (SADPs) into our calculations, but we recognize given the requirements that SADPs may rarely meet the requirements to send a notification.</w:t>
      </w:r>
    </w:p>
    <w:p>
      <w:pPr>
        <w:pStyle w:val="BodyText"/>
        <w:spacing w:before="240"/>
        <w:ind w:right="299"/>
      </w:pPr>
      <w:r>
        <w:t>We</w:t>
      </w:r>
      <w:r>
        <w:rPr>
          <w:spacing w:val="-3"/>
        </w:rPr>
        <w:t xml:space="preserve"> </w:t>
      </w:r>
      <w:r>
        <w:t>estimate</w:t>
      </w:r>
      <w:r>
        <w:rPr>
          <w:spacing w:val="-3"/>
        </w:rPr>
        <w:t xml:space="preserve"> </w:t>
      </w:r>
      <w:r>
        <w:t>that</w:t>
      </w:r>
      <w:r>
        <w:rPr>
          <w:spacing w:val="-2"/>
        </w:rPr>
        <w:t xml:space="preserve"> </w:t>
      </w:r>
      <w:r>
        <w:t>a</w:t>
      </w:r>
      <w:r>
        <w:rPr>
          <w:spacing w:val="-3"/>
        </w:rPr>
        <w:t xml:space="preserve"> </w:t>
      </w:r>
      <w:r>
        <w:t>total</w:t>
      </w:r>
      <w:r>
        <w:rPr>
          <w:spacing w:val="-2"/>
        </w:rPr>
        <w:t xml:space="preserve"> </w:t>
      </w:r>
      <w:r>
        <w:t>of</w:t>
      </w:r>
      <w:r>
        <w:rPr>
          <w:spacing w:val="-3"/>
        </w:rPr>
        <w:t xml:space="preserve"> </w:t>
      </w:r>
      <w:r>
        <w:t>374</w:t>
      </w:r>
      <w:r>
        <w:rPr>
          <w:spacing w:val="-2"/>
        </w:rPr>
        <w:t xml:space="preserve"> </w:t>
      </w:r>
      <w:r>
        <w:t>issuers</w:t>
      </w:r>
      <w:r>
        <w:rPr>
          <w:spacing w:val="-2"/>
        </w:rPr>
        <w:t xml:space="preserve"> </w:t>
      </w:r>
      <w:r>
        <w:t>participate</w:t>
      </w:r>
      <w:r>
        <w:rPr>
          <w:spacing w:val="-3"/>
        </w:rPr>
        <w:t xml:space="preserve"> </w:t>
      </w:r>
      <w:r>
        <w:t>in</w:t>
      </w:r>
      <w:r>
        <w:rPr>
          <w:spacing w:val="-2"/>
        </w:rPr>
        <w:t xml:space="preserve"> </w:t>
      </w:r>
      <w:r>
        <w:t>the</w:t>
      </w:r>
      <w:r>
        <w:rPr>
          <w:spacing w:val="-3"/>
        </w:rPr>
        <w:t xml:space="preserve"> </w:t>
      </w:r>
      <w:r>
        <w:t>FFE</w:t>
      </w:r>
      <w:r>
        <w:rPr>
          <w:spacing w:val="-3"/>
        </w:rPr>
        <w:t xml:space="preserve"> </w:t>
      </w:r>
      <w:r>
        <w:t>and</w:t>
      </w:r>
      <w:r>
        <w:rPr>
          <w:spacing w:val="-2"/>
        </w:rPr>
        <w:t xml:space="preserve"> </w:t>
      </w:r>
      <w:r>
        <w:t>would</w:t>
      </w:r>
      <w:r>
        <w:rPr>
          <w:spacing w:val="-2"/>
        </w:rPr>
        <w:t xml:space="preserve"> </w:t>
      </w:r>
      <w:r>
        <w:t>be</w:t>
      </w:r>
      <w:r>
        <w:rPr>
          <w:spacing w:val="-1"/>
        </w:rPr>
        <w:t xml:space="preserve"> </w:t>
      </w:r>
      <w:r>
        <w:t>required</w:t>
      </w:r>
      <w:r>
        <w:rPr>
          <w:spacing w:val="-2"/>
        </w:rPr>
        <w:t xml:space="preserve"> </w:t>
      </w:r>
      <w:r>
        <w:t>to</w:t>
      </w:r>
      <w:r>
        <w:rPr>
          <w:spacing w:val="-2"/>
        </w:rPr>
        <w:t xml:space="preserve"> </w:t>
      </w:r>
      <w:r>
        <w:t>comply</w:t>
      </w:r>
      <w:r>
        <w:rPr>
          <w:spacing w:val="-2"/>
        </w:rPr>
        <w:t xml:space="preserve"> </w:t>
      </w:r>
      <w:r>
        <w:t>with the standard. We estimated that 5 percent of providers discontinue contracts per year, and that an issuer in the FFE covers 29,493 providers, which means that we estimate an issuer would have 1,474 provider discontinuation notices in a year.</w:t>
      </w:r>
    </w:p>
    <w:p>
      <w:pPr>
        <w:pStyle w:val="BodyText"/>
        <w:spacing w:before="240"/>
        <w:ind w:right="269"/>
      </w:pPr>
      <w:r>
        <w:t>It’s</w:t>
      </w:r>
      <w:r>
        <w:rPr>
          <w:spacing w:val="-2"/>
        </w:rPr>
        <w:t xml:space="preserve"> </w:t>
      </w:r>
      <w:r>
        <w:t>difficult</w:t>
      </w:r>
      <w:r>
        <w:rPr>
          <w:spacing w:val="-2"/>
        </w:rPr>
        <w:t xml:space="preserve"> </w:t>
      </w:r>
      <w:r>
        <w:t>to</w:t>
      </w:r>
      <w:r>
        <w:rPr>
          <w:spacing w:val="-2"/>
        </w:rPr>
        <w:t xml:space="preserve"> </w:t>
      </w:r>
      <w:r>
        <w:t>estimate</w:t>
      </w:r>
      <w:r>
        <w:rPr>
          <w:spacing w:val="-3"/>
        </w:rPr>
        <w:t xml:space="preserve"> </w:t>
      </w:r>
      <w:r>
        <w:t>how</w:t>
      </w:r>
      <w:r>
        <w:rPr>
          <w:spacing w:val="-3"/>
        </w:rPr>
        <w:t xml:space="preserve"> </w:t>
      </w:r>
      <w:r>
        <w:t>many</w:t>
      </w:r>
      <w:r>
        <w:rPr>
          <w:spacing w:val="-2"/>
        </w:rPr>
        <w:t xml:space="preserve"> </w:t>
      </w:r>
      <w:r>
        <w:t>respondents</w:t>
      </w:r>
      <w:r>
        <w:rPr>
          <w:spacing w:val="-2"/>
        </w:rPr>
        <w:t xml:space="preserve"> </w:t>
      </w:r>
      <w:r>
        <w:t>will</w:t>
      </w:r>
      <w:r>
        <w:rPr>
          <w:spacing w:val="-2"/>
        </w:rPr>
        <w:t xml:space="preserve"> </w:t>
      </w:r>
      <w:r>
        <w:t>choose</w:t>
      </w:r>
      <w:r>
        <w:rPr>
          <w:spacing w:val="-3"/>
        </w:rPr>
        <w:t xml:space="preserve"> </w:t>
      </w:r>
      <w:r>
        <w:t>to</w:t>
      </w:r>
      <w:r>
        <w:rPr>
          <w:spacing w:val="-2"/>
        </w:rPr>
        <w:t xml:space="preserve"> </w:t>
      </w:r>
      <w:r>
        <w:t>offer</w:t>
      </w:r>
      <w:r>
        <w:rPr>
          <w:spacing w:val="-3"/>
        </w:rPr>
        <w:t xml:space="preserve"> </w:t>
      </w:r>
      <w:r>
        <w:t>non-network</w:t>
      </w:r>
      <w:r>
        <w:rPr>
          <w:spacing w:val="-2"/>
        </w:rPr>
        <w:t xml:space="preserve"> </w:t>
      </w:r>
      <w:r>
        <w:t>plans</w:t>
      </w:r>
      <w:r>
        <w:rPr>
          <w:spacing w:val="-2"/>
        </w:rPr>
        <w:t xml:space="preserve"> </w:t>
      </w:r>
      <w:r>
        <w:t>and</w:t>
      </w:r>
      <w:r>
        <w:rPr>
          <w:spacing w:val="-2"/>
        </w:rPr>
        <w:t xml:space="preserve"> </w:t>
      </w:r>
      <w:r>
        <w:t>thus</w:t>
      </w:r>
      <w:r>
        <w:rPr>
          <w:spacing w:val="-2"/>
        </w:rPr>
        <w:t xml:space="preserve"> </w:t>
      </w:r>
      <w:r>
        <w:t>fall under the exception under 156.23(f), meaning 156.230(d) and (e ) would not apply to issuers with non-network plans and whether those non-network plans will be offered in addition to network plans</w:t>
      </w:r>
      <w:r>
        <w:rPr>
          <w:spacing w:val="-3"/>
        </w:rPr>
        <w:t xml:space="preserve"> </w:t>
      </w:r>
      <w:r>
        <w:t>or</w:t>
      </w:r>
      <w:r>
        <w:rPr>
          <w:spacing w:val="-4"/>
        </w:rPr>
        <w:t xml:space="preserve"> </w:t>
      </w:r>
      <w:r>
        <w:t>offered</w:t>
      </w:r>
      <w:r>
        <w:rPr>
          <w:spacing w:val="-3"/>
        </w:rPr>
        <w:t xml:space="preserve"> </w:t>
      </w:r>
      <w:r>
        <w:t>in</w:t>
      </w:r>
      <w:r>
        <w:rPr>
          <w:spacing w:val="-3"/>
        </w:rPr>
        <w:t xml:space="preserve"> </w:t>
      </w:r>
      <w:r>
        <w:t>place</w:t>
      </w:r>
      <w:r>
        <w:rPr>
          <w:spacing w:val="-2"/>
        </w:rPr>
        <w:t xml:space="preserve"> </w:t>
      </w:r>
      <w:r>
        <w:t>of</w:t>
      </w:r>
      <w:r>
        <w:rPr>
          <w:spacing w:val="-4"/>
        </w:rPr>
        <w:t xml:space="preserve"> </w:t>
      </w:r>
      <w:r>
        <w:t>a</w:t>
      </w:r>
      <w:r>
        <w:rPr>
          <w:spacing w:val="-4"/>
        </w:rPr>
        <w:t xml:space="preserve"> </w:t>
      </w:r>
      <w:r>
        <w:t>network</w:t>
      </w:r>
      <w:r>
        <w:rPr>
          <w:spacing w:val="-3"/>
        </w:rPr>
        <w:t xml:space="preserve"> </w:t>
      </w:r>
      <w:r>
        <w:t>plan.</w:t>
      </w:r>
      <w:r>
        <w:rPr>
          <w:spacing w:val="-3"/>
        </w:rPr>
        <w:t xml:space="preserve"> </w:t>
      </w:r>
      <w:r>
        <w:t>The</w:t>
      </w:r>
      <w:r>
        <w:rPr>
          <w:spacing w:val="-4"/>
        </w:rPr>
        <w:t xml:space="preserve"> </w:t>
      </w:r>
      <w:r>
        <w:t>anticipated</w:t>
      </w:r>
      <w:r>
        <w:rPr>
          <w:spacing w:val="-3"/>
        </w:rPr>
        <w:t xml:space="preserve"> </w:t>
      </w:r>
      <w:r>
        <w:t>number</w:t>
      </w:r>
      <w:r>
        <w:rPr>
          <w:spacing w:val="-4"/>
        </w:rPr>
        <w:t xml:space="preserve"> </w:t>
      </w:r>
      <w:r>
        <w:t>of</w:t>
      </w:r>
      <w:r>
        <w:rPr>
          <w:spacing w:val="-4"/>
        </w:rPr>
        <w:t xml:space="preserve"> </w:t>
      </w:r>
      <w:r>
        <w:t>issuers</w:t>
      </w:r>
      <w:r>
        <w:rPr>
          <w:spacing w:val="-3"/>
        </w:rPr>
        <w:t xml:space="preserve"> </w:t>
      </w:r>
      <w:r>
        <w:t>offering</w:t>
      </w:r>
      <w:r>
        <w:rPr>
          <w:spacing w:val="-3"/>
        </w:rPr>
        <w:t xml:space="preserve"> </w:t>
      </w:r>
      <w:r>
        <w:t>non-network plans will also be dependent on States who may choose not to allow FFE issuers to offer non-network plans. Due to these factors, we expect that the overall average NA burden estimate to be negligible and not increase the burden estimates in Table 2.</w:t>
      </w:r>
    </w:p>
    <w:p>
      <w:pPr>
        <w:pStyle w:val="BodyText"/>
        <w:spacing w:before="241"/>
        <w:ind w:right="229"/>
      </w:pPr>
      <w:r>
        <w:t>Our</w:t>
      </w:r>
      <w:r>
        <w:rPr>
          <w:spacing w:val="-4"/>
        </w:rPr>
        <w:t xml:space="preserve"> </w:t>
      </w:r>
      <w:r>
        <w:t>assumption</w:t>
      </w:r>
      <w:r>
        <w:rPr>
          <w:spacing w:val="-3"/>
        </w:rPr>
        <w:t xml:space="preserve"> </w:t>
      </w:r>
      <w:r>
        <w:t>is</w:t>
      </w:r>
      <w:r>
        <w:rPr>
          <w:spacing w:val="-3"/>
        </w:rPr>
        <w:t xml:space="preserve"> </w:t>
      </w:r>
      <w:r>
        <w:t>that</w:t>
      </w:r>
      <w:r>
        <w:rPr>
          <w:spacing w:val="-3"/>
        </w:rPr>
        <w:t xml:space="preserve"> </w:t>
      </w:r>
      <w:r>
        <w:t>the</w:t>
      </w:r>
      <w:r>
        <w:rPr>
          <w:spacing w:val="-4"/>
        </w:rPr>
        <w:t xml:space="preserve"> </w:t>
      </w:r>
      <w:r>
        <w:t>database</w:t>
      </w:r>
      <w:r>
        <w:rPr>
          <w:spacing w:val="-4"/>
        </w:rPr>
        <w:t xml:space="preserve"> </w:t>
      </w:r>
      <w:r>
        <w:t>manager</w:t>
      </w:r>
      <w:r>
        <w:rPr>
          <w:spacing w:val="-4"/>
        </w:rPr>
        <w:t xml:space="preserve"> </w:t>
      </w:r>
      <w:r>
        <w:t>will</w:t>
      </w:r>
      <w:r>
        <w:rPr>
          <w:spacing w:val="-3"/>
        </w:rPr>
        <w:t xml:space="preserve"> </w:t>
      </w:r>
      <w:r>
        <w:t>receive</w:t>
      </w:r>
      <w:r>
        <w:rPr>
          <w:spacing w:val="-4"/>
        </w:rPr>
        <w:t xml:space="preserve"> </w:t>
      </w:r>
      <w:r>
        <w:t>notification</w:t>
      </w:r>
      <w:r>
        <w:rPr>
          <w:spacing w:val="-3"/>
        </w:rPr>
        <w:t xml:space="preserve"> </w:t>
      </w:r>
      <w:r>
        <w:t>from</w:t>
      </w:r>
      <w:r>
        <w:rPr>
          <w:spacing w:val="-3"/>
        </w:rPr>
        <w:t xml:space="preserve"> </w:t>
      </w:r>
      <w:r>
        <w:t>the</w:t>
      </w:r>
      <w:r>
        <w:rPr>
          <w:spacing w:val="-4"/>
        </w:rPr>
        <w:t xml:space="preserve"> </w:t>
      </w:r>
      <w:r>
        <w:t>issuer’s</w:t>
      </w:r>
      <w:r>
        <w:rPr>
          <w:spacing w:val="-3"/>
        </w:rPr>
        <w:t xml:space="preserve"> </w:t>
      </w:r>
      <w:r>
        <w:t>contracting team that a provider contract is being discontinued. From that notification, the database manager would aggregate the claims data associated with the provider to develop the</w:t>
      </w:r>
      <w:r>
        <w:rPr>
          <w:spacing w:val="40"/>
        </w:rPr>
        <w:t xml:space="preserve"> </w:t>
      </w:r>
      <w:r>
        <w:t>list of affected</w:t>
      </w:r>
    </w:p>
    <w:p>
      <w:pPr>
        <w:pStyle w:val="BodyText"/>
        <w:spacing w:after="0"/>
        <w:sectPr>
          <w:pgSz w:w="12240" w:h="15840"/>
          <w:pgMar w:top="1560" w:right="1080" w:bottom="1380" w:left="1080" w:header="0" w:footer="1183"/>
          <w:cols w:space="720"/>
        </w:sectPr>
      </w:pPr>
    </w:p>
    <w:p>
      <w:pPr>
        <w:pStyle w:val="BodyText"/>
        <w:spacing w:before="78"/>
        <w:ind w:left="240" w:right="238"/>
      </w:pPr>
      <w:r>
        <w:t>enrollees with associated enrollee information for the notice. This list of affected enrollees and associated enrollee information would be sent to an administrative assistant to aggregate into a notification template to be sent to the enrollee. Assuming 1,474 notices per a year, we believe that this task would be a routine process for the administrative assistant to undertake that would need little to no oversight to produce. As the issuer has the discretion to define regular basis and that the number of notices is likely to widely varying between scope of network and type of provider, we did not estimate based on the number of individual notifications, but rather the number of provider discontinuations. For each provider discontinuation notice, we estimate that it will take a database administrator 30 minutes for data analysis to produce the list of affected enrollees, at $100.60 an hour,</w:t>
      </w:r>
      <w:r>
        <w:rPr>
          <w:spacing w:val="-3"/>
        </w:rPr>
        <w:t xml:space="preserve"> </w:t>
      </w:r>
      <w:r>
        <w:t>and</w:t>
      </w:r>
      <w:r>
        <w:rPr>
          <w:spacing w:val="-3"/>
        </w:rPr>
        <w:t xml:space="preserve"> </w:t>
      </w:r>
      <w:r>
        <w:t>an</w:t>
      </w:r>
      <w:r>
        <w:rPr>
          <w:spacing w:val="-3"/>
        </w:rPr>
        <w:t xml:space="preserve"> </w:t>
      </w:r>
      <w:r>
        <w:t>administrative</w:t>
      </w:r>
      <w:r>
        <w:rPr>
          <w:spacing w:val="-4"/>
        </w:rPr>
        <w:t xml:space="preserve"> </w:t>
      </w:r>
      <w:r>
        <w:t>assistant</w:t>
      </w:r>
      <w:r>
        <w:rPr>
          <w:spacing w:val="-5"/>
        </w:rPr>
        <w:t xml:space="preserve"> </w:t>
      </w:r>
      <w:r>
        <w:t>30</w:t>
      </w:r>
      <w:r>
        <w:rPr>
          <w:spacing w:val="-6"/>
        </w:rPr>
        <w:t xml:space="preserve"> </w:t>
      </w:r>
      <w:r>
        <w:t>minutes</w:t>
      </w:r>
      <w:r>
        <w:rPr>
          <w:spacing w:val="-6"/>
        </w:rPr>
        <w:t xml:space="preserve"> </w:t>
      </w:r>
      <w:r>
        <w:t>to</w:t>
      </w:r>
      <w:r>
        <w:rPr>
          <w:spacing w:val="-6"/>
        </w:rPr>
        <w:t xml:space="preserve"> </w:t>
      </w:r>
      <w:r>
        <w:t>develop</w:t>
      </w:r>
      <w:r>
        <w:rPr>
          <w:spacing w:val="-6"/>
        </w:rPr>
        <w:t xml:space="preserve"> </w:t>
      </w:r>
      <w:r>
        <w:t>the</w:t>
      </w:r>
      <w:r>
        <w:rPr>
          <w:spacing w:val="-9"/>
        </w:rPr>
        <w:t xml:space="preserve"> </w:t>
      </w:r>
      <w:r>
        <w:t>notification</w:t>
      </w:r>
      <w:r>
        <w:rPr>
          <w:spacing w:val="-3"/>
        </w:rPr>
        <w:t xml:space="preserve"> </w:t>
      </w:r>
      <w:r>
        <w:t>and</w:t>
      </w:r>
      <w:r>
        <w:rPr>
          <w:spacing w:val="-6"/>
        </w:rPr>
        <w:t xml:space="preserve"> </w:t>
      </w:r>
      <w:r>
        <w:t>send</w:t>
      </w:r>
      <w:r>
        <w:rPr>
          <w:spacing w:val="-6"/>
        </w:rPr>
        <w:t xml:space="preserve"> </w:t>
      </w:r>
      <w:r>
        <w:t>the</w:t>
      </w:r>
      <w:r>
        <w:rPr>
          <w:spacing w:val="-9"/>
        </w:rPr>
        <w:t xml:space="preserve"> </w:t>
      </w:r>
      <w:r>
        <w:t>notification to the affected enrollees, at $44.52 an hour. The total costs per issuer are $106,953.44. For all FFE issuers, the total annual burden is 551,276 hours and the total annual costs is $40,000,586.56.</w:t>
      </w:r>
    </w:p>
    <w:p>
      <w:pPr>
        <w:pStyle w:val="BodyText"/>
        <w:spacing w:before="240"/>
        <w:ind w:left="240" w:right="229"/>
      </w:pPr>
      <w:r>
        <w:t>Pursuant</w:t>
      </w:r>
      <w:r>
        <w:rPr>
          <w:spacing w:val="-3"/>
        </w:rPr>
        <w:t xml:space="preserve"> </w:t>
      </w:r>
      <w:r>
        <w:t>to</w:t>
      </w:r>
      <w:r>
        <w:rPr>
          <w:spacing w:val="-3"/>
        </w:rPr>
        <w:t xml:space="preserve"> </w:t>
      </w:r>
      <w:r>
        <w:t>section</w:t>
      </w:r>
      <w:r>
        <w:rPr>
          <w:spacing w:val="-3"/>
        </w:rPr>
        <w:t xml:space="preserve"> </w:t>
      </w:r>
      <w:r>
        <w:t>156.230(d)</w:t>
      </w:r>
      <w:r>
        <w:rPr>
          <w:spacing w:val="-4"/>
        </w:rPr>
        <w:t xml:space="preserve"> </w:t>
      </w:r>
      <w:r>
        <w:t>a</w:t>
      </w:r>
      <w:r>
        <w:rPr>
          <w:spacing w:val="-4"/>
        </w:rPr>
        <w:t xml:space="preserve"> </w:t>
      </w:r>
      <w:r>
        <w:t>QHP</w:t>
      </w:r>
      <w:r>
        <w:rPr>
          <w:spacing w:val="-3"/>
        </w:rPr>
        <w:t xml:space="preserve"> </w:t>
      </w:r>
      <w:r>
        <w:t>issuer</w:t>
      </w:r>
      <w:r>
        <w:rPr>
          <w:spacing w:val="-4"/>
        </w:rPr>
        <w:t xml:space="preserve"> </w:t>
      </w:r>
      <w:r>
        <w:t>in</w:t>
      </w:r>
      <w:r>
        <w:rPr>
          <w:spacing w:val="-1"/>
        </w:rPr>
        <w:t xml:space="preserve"> </w:t>
      </w:r>
      <w:r>
        <w:t>an</w:t>
      </w:r>
      <w:r>
        <w:rPr>
          <w:spacing w:val="-1"/>
        </w:rPr>
        <w:t xml:space="preserve"> </w:t>
      </w:r>
      <w:r>
        <w:t>FFE</w:t>
      </w:r>
      <w:r>
        <w:rPr>
          <w:spacing w:val="-4"/>
        </w:rPr>
        <w:t xml:space="preserve"> </w:t>
      </w:r>
      <w:r>
        <w:t>that</w:t>
      </w:r>
      <w:r>
        <w:rPr>
          <w:spacing w:val="-3"/>
        </w:rPr>
        <w:t xml:space="preserve"> </w:t>
      </w:r>
      <w:r>
        <w:t>uses</w:t>
      </w:r>
      <w:r>
        <w:rPr>
          <w:spacing w:val="-3"/>
        </w:rPr>
        <w:t xml:space="preserve"> </w:t>
      </w:r>
      <w:r>
        <w:t>a</w:t>
      </w:r>
      <w:r>
        <w:rPr>
          <w:spacing w:val="-4"/>
        </w:rPr>
        <w:t xml:space="preserve"> </w:t>
      </w:r>
      <w:r>
        <w:t>provider</w:t>
      </w:r>
      <w:r>
        <w:rPr>
          <w:spacing w:val="-2"/>
        </w:rPr>
        <w:t xml:space="preserve"> </w:t>
      </w:r>
      <w:r>
        <w:t>network</w:t>
      </w:r>
      <w:r>
        <w:rPr>
          <w:spacing w:val="-3"/>
        </w:rPr>
        <w:t xml:space="preserve"> </w:t>
      </w:r>
      <w:r>
        <w:t>must</w:t>
      </w:r>
      <w:r>
        <w:rPr>
          <w:spacing w:val="-3"/>
        </w:rPr>
        <w:t xml:space="preserve"> </w:t>
      </w:r>
      <w:r>
        <w:t>make</w:t>
      </w:r>
      <w:r>
        <w:rPr>
          <w:spacing w:val="-4"/>
        </w:rPr>
        <w:t xml:space="preserve"> </w:t>
      </w:r>
      <w:r>
        <w:t>a good faith effort to provide written notice of discontinuation of a provider 30 days prior to the effective date of the change or otherwise as soon as practicable.</w:t>
      </w:r>
    </w:p>
    <w:p>
      <w:pPr>
        <w:pStyle w:val="Heading2"/>
      </w:pPr>
      <w:r>
        <w:rPr>
          <w:spacing w:val="-2"/>
        </w:rPr>
        <w:t>Table</w:t>
      </w:r>
      <w:r>
        <w:rPr>
          <w:spacing w:val="-18"/>
        </w:rPr>
        <w:t xml:space="preserve"> </w:t>
      </w:r>
      <w:r>
        <w:rPr>
          <w:spacing w:val="-2"/>
        </w:rPr>
        <w:t>2.</w:t>
      </w:r>
      <w:r>
        <w:rPr>
          <w:spacing w:val="-10"/>
        </w:rPr>
        <w:t xml:space="preserve"> </w:t>
      </w:r>
      <w:r>
        <w:rPr>
          <w:spacing w:val="-2"/>
        </w:rPr>
        <w:t>Burden</w:t>
      </w:r>
      <w:r>
        <w:rPr>
          <w:spacing w:val="-9"/>
        </w:rPr>
        <w:t xml:space="preserve"> </w:t>
      </w:r>
      <w:r>
        <w:rPr>
          <w:spacing w:val="-2"/>
        </w:rPr>
        <w:t>for</w:t>
      </w:r>
      <w:r>
        <w:rPr>
          <w:spacing w:val="-8"/>
        </w:rPr>
        <w:t xml:space="preserve"> </w:t>
      </w:r>
      <w:r>
        <w:rPr>
          <w:spacing w:val="-2"/>
        </w:rPr>
        <w:t>Issuers:</w:t>
      </w:r>
      <w:r>
        <w:rPr>
          <w:spacing w:val="-13"/>
        </w:rPr>
        <w:t xml:space="preserve"> </w:t>
      </w:r>
      <w:r>
        <w:rPr>
          <w:spacing w:val="-2"/>
        </w:rPr>
        <w:t>Written</w:t>
      </w:r>
      <w:r>
        <w:rPr>
          <w:spacing w:val="-7"/>
        </w:rPr>
        <w:t xml:space="preserve"> </w:t>
      </w:r>
      <w:r>
        <w:rPr>
          <w:spacing w:val="-2"/>
        </w:rPr>
        <w:t>Notice</w:t>
      </w:r>
      <w:r>
        <w:rPr>
          <w:spacing w:val="-10"/>
        </w:rPr>
        <w:t xml:space="preserve"> </w:t>
      </w:r>
      <w:r>
        <w:rPr>
          <w:spacing w:val="-2"/>
        </w:rPr>
        <w:t>of</w:t>
      </w:r>
      <w:r>
        <w:rPr>
          <w:spacing w:val="-6"/>
        </w:rPr>
        <w:t xml:space="preserve"> </w:t>
      </w:r>
      <w:r>
        <w:rPr>
          <w:spacing w:val="-2"/>
        </w:rPr>
        <w:t>Provider</w:t>
      </w:r>
      <w:r>
        <w:rPr>
          <w:spacing w:val="-8"/>
        </w:rPr>
        <w:t xml:space="preserve"> </w:t>
      </w:r>
      <w:r>
        <w:rPr>
          <w:spacing w:val="-2"/>
        </w:rPr>
        <w:t>Discontinuation</w:t>
      </w:r>
    </w:p>
    <w:p>
      <w:pPr>
        <w:pStyle w:val="BodyText"/>
        <w:spacing w:before="10" w:after="1"/>
        <w:ind w:left="0"/>
        <w:rPr>
          <w:b/>
          <w:sz w:val="14"/>
        </w:rPr>
      </w:pPr>
    </w:p>
    <w:tbl>
      <w:tblPr>
        <w:tblStyle w:val="TableNormal"/>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37"/>
        <w:gridCol w:w="1479"/>
        <w:gridCol w:w="1755"/>
        <w:gridCol w:w="1109"/>
        <w:gridCol w:w="1479"/>
        <w:gridCol w:w="1853"/>
      </w:tblGrid>
      <w:tr>
        <w:tblPrEx>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458"/>
          <w:jc w:val="left"/>
        </w:trPr>
        <w:tc>
          <w:tcPr>
            <w:tcW w:w="1937" w:type="dxa"/>
          </w:tcPr>
          <w:p>
            <w:pPr>
              <w:pStyle w:val="TableParagraph"/>
              <w:spacing w:before="37"/>
              <w:ind w:left="71"/>
              <w:jc w:val="left"/>
              <w:rPr>
                <w:b/>
                <w:sz w:val="24"/>
              </w:rPr>
            </w:pPr>
            <w:r>
              <w:rPr>
                <w:b/>
                <w:sz w:val="24"/>
              </w:rPr>
              <w:t>Labor</w:t>
            </w:r>
            <w:r>
              <w:rPr>
                <w:b/>
                <w:spacing w:val="-12"/>
                <w:sz w:val="24"/>
              </w:rPr>
              <w:t xml:space="preserve"> </w:t>
            </w:r>
            <w:r>
              <w:rPr>
                <w:b/>
                <w:spacing w:val="-2"/>
                <w:sz w:val="24"/>
              </w:rPr>
              <w:t>Category</w:t>
            </w:r>
          </w:p>
        </w:tc>
        <w:tc>
          <w:tcPr>
            <w:tcW w:w="1479" w:type="dxa"/>
          </w:tcPr>
          <w:p>
            <w:pPr>
              <w:pStyle w:val="TableParagraph"/>
              <w:ind w:left="112" w:firstLine="74"/>
              <w:jc w:val="left"/>
              <w:rPr>
                <w:b/>
                <w:sz w:val="24"/>
              </w:rPr>
            </w:pPr>
            <w:r>
              <w:rPr>
                <w:b/>
                <w:sz w:val="24"/>
              </w:rPr>
              <w:t xml:space="preserve">Number of </w:t>
            </w:r>
            <w:r>
              <w:rPr>
                <w:b/>
                <w:spacing w:val="-6"/>
                <w:sz w:val="24"/>
              </w:rPr>
              <w:t>Respondents</w:t>
            </w:r>
          </w:p>
        </w:tc>
        <w:tc>
          <w:tcPr>
            <w:tcW w:w="1755" w:type="dxa"/>
          </w:tcPr>
          <w:p>
            <w:pPr>
              <w:pStyle w:val="TableParagraph"/>
              <w:ind w:left="19" w:right="1"/>
              <w:rPr>
                <w:b/>
                <w:sz w:val="24"/>
              </w:rPr>
            </w:pPr>
            <w:r>
              <w:rPr>
                <w:b/>
                <w:sz w:val="24"/>
              </w:rPr>
              <w:t>Hourly</w:t>
            </w:r>
            <w:r>
              <w:rPr>
                <w:b/>
                <w:spacing w:val="-15"/>
                <w:sz w:val="24"/>
              </w:rPr>
              <w:t xml:space="preserve"> </w:t>
            </w:r>
            <w:r>
              <w:rPr>
                <w:b/>
                <w:sz w:val="24"/>
              </w:rPr>
              <w:t xml:space="preserve">Labor </w:t>
            </w:r>
            <w:r>
              <w:rPr>
                <w:b/>
                <w:spacing w:val="-4"/>
                <w:sz w:val="24"/>
              </w:rPr>
              <w:t>Costs</w:t>
            </w:r>
          </w:p>
          <w:p>
            <w:pPr>
              <w:pStyle w:val="TableParagraph"/>
              <w:spacing w:before="0"/>
              <w:ind w:left="19"/>
              <w:rPr>
                <w:b/>
                <w:sz w:val="24"/>
              </w:rPr>
            </w:pPr>
            <w:r>
              <w:rPr>
                <w:b/>
                <w:sz w:val="24"/>
              </w:rPr>
              <w:t>(Hourly</w:t>
            </w:r>
            <w:r>
              <w:rPr>
                <w:b/>
                <w:spacing w:val="-15"/>
                <w:sz w:val="24"/>
              </w:rPr>
              <w:t xml:space="preserve"> </w:t>
            </w:r>
            <w:r>
              <w:rPr>
                <w:b/>
                <w:sz w:val="24"/>
              </w:rPr>
              <w:t>rate</w:t>
            </w:r>
            <w:r>
              <w:rPr>
                <w:b/>
                <w:spacing w:val="-15"/>
                <w:sz w:val="24"/>
              </w:rPr>
              <w:t xml:space="preserve"> </w:t>
            </w:r>
            <w:r>
              <w:rPr>
                <w:b/>
                <w:sz w:val="24"/>
              </w:rPr>
              <w:t xml:space="preserve">+ 100% Fringe </w:t>
            </w:r>
            <w:r>
              <w:rPr>
                <w:b/>
                <w:spacing w:val="-2"/>
                <w:sz w:val="24"/>
              </w:rPr>
              <w:t>benefits)</w:t>
            </w:r>
          </w:p>
        </w:tc>
        <w:tc>
          <w:tcPr>
            <w:tcW w:w="1109" w:type="dxa"/>
          </w:tcPr>
          <w:p>
            <w:pPr>
              <w:pStyle w:val="TableParagraph"/>
              <w:ind w:left="240" w:right="169" w:hanging="58"/>
              <w:jc w:val="left"/>
              <w:rPr>
                <w:b/>
                <w:sz w:val="24"/>
              </w:rPr>
            </w:pPr>
            <w:r>
              <w:rPr>
                <w:b/>
                <w:spacing w:val="-6"/>
                <w:sz w:val="24"/>
              </w:rPr>
              <w:t xml:space="preserve">Burden </w:t>
            </w:r>
            <w:r>
              <w:rPr>
                <w:b/>
                <w:spacing w:val="-4"/>
                <w:sz w:val="24"/>
              </w:rPr>
              <w:t>Hours</w:t>
            </w:r>
          </w:p>
        </w:tc>
        <w:tc>
          <w:tcPr>
            <w:tcW w:w="1479" w:type="dxa"/>
          </w:tcPr>
          <w:p>
            <w:pPr>
              <w:pStyle w:val="TableParagraph"/>
              <w:ind w:left="360" w:right="343" w:hanging="3"/>
              <w:rPr>
                <w:b/>
                <w:sz w:val="24"/>
              </w:rPr>
            </w:pPr>
            <w:r>
              <w:rPr>
                <w:b/>
                <w:spacing w:val="-2"/>
                <w:sz w:val="24"/>
              </w:rPr>
              <w:t xml:space="preserve">Total </w:t>
            </w:r>
            <w:r>
              <w:rPr>
                <w:b/>
                <w:spacing w:val="-4"/>
                <w:sz w:val="24"/>
              </w:rPr>
              <w:t>Burden Costs (Per</w:t>
            </w:r>
          </w:p>
          <w:p>
            <w:pPr>
              <w:pStyle w:val="TableParagraph"/>
              <w:spacing w:before="1"/>
              <w:ind w:left="23" w:right="7"/>
              <w:rPr>
                <w:b/>
                <w:sz w:val="24"/>
              </w:rPr>
            </w:pPr>
            <w:r>
              <w:rPr>
                <w:b/>
                <w:spacing w:val="-2"/>
                <w:sz w:val="24"/>
              </w:rPr>
              <w:t>Respondent)</w:t>
            </w:r>
          </w:p>
        </w:tc>
        <w:tc>
          <w:tcPr>
            <w:tcW w:w="1853" w:type="dxa"/>
          </w:tcPr>
          <w:p>
            <w:pPr>
              <w:pStyle w:val="TableParagraph"/>
              <w:ind w:left="647" w:right="228" w:hanging="404"/>
              <w:jc w:val="left"/>
              <w:rPr>
                <w:b/>
                <w:sz w:val="24"/>
              </w:rPr>
            </w:pPr>
            <w:r>
              <w:rPr>
                <w:b/>
                <w:spacing w:val="-2"/>
                <w:sz w:val="24"/>
              </w:rPr>
              <w:t>Total</w:t>
            </w:r>
            <w:r>
              <w:rPr>
                <w:b/>
                <w:spacing w:val="-14"/>
                <w:sz w:val="24"/>
              </w:rPr>
              <w:t xml:space="preserve"> </w:t>
            </w:r>
            <w:r>
              <w:rPr>
                <w:b/>
                <w:spacing w:val="-2"/>
                <w:sz w:val="24"/>
              </w:rPr>
              <w:t>Burden Costs</w:t>
            </w:r>
            <w:r>
              <w:rPr>
                <w:b/>
                <w:spacing w:val="40"/>
                <w:sz w:val="24"/>
              </w:rPr>
              <w:t xml:space="preserve"> </w:t>
            </w:r>
            <w:r>
              <w:rPr>
                <w:b/>
                <w:spacing w:val="-4"/>
                <w:sz w:val="24"/>
              </w:rPr>
              <w:t>(All</w:t>
            </w:r>
          </w:p>
          <w:p>
            <w:pPr>
              <w:pStyle w:val="TableParagraph"/>
              <w:spacing w:before="1"/>
              <w:ind w:left="247"/>
              <w:jc w:val="left"/>
              <w:rPr>
                <w:b/>
                <w:sz w:val="24"/>
              </w:rPr>
            </w:pPr>
            <w:r>
              <w:rPr>
                <w:b/>
                <w:spacing w:val="-2"/>
                <w:sz w:val="24"/>
              </w:rPr>
              <w:t>Respondents)</w:t>
            </w:r>
          </w:p>
        </w:tc>
      </w:tr>
      <w:tr>
        <w:tblPrEx>
          <w:tblW w:w="0" w:type="auto"/>
          <w:jc w:val="left"/>
          <w:tblInd w:w="250" w:type="dxa"/>
          <w:tblLayout w:type="fixed"/>
          <w:tblCellMar>
            <w:top w:w="0" w:type="dxa"/>
            <w:left w:w="0" w:type="dxa"/>
            <w:bottom w:w="0" w:type="dxa"/>
            <w:right w:w="0" w:type="dxa"/>
          </w:tblCellMar>
          <w:tblLook w:val="01E0"/>
        </w:tblPrEx>
        <w:trPr>
          <w:trHeight w:val="633"/>
          <w:jc w:val="left"/>
        </w:trPr>
        <w:tc>
          <w:tcPr>
            <w:tcW w:w="1937" w:type="dxa"/>
          </w:tcPr>
          <w:p>
            <w:pPr>
              <w:pStyle w:val="TableParagraph"/>
              <w:ind w:left="71"/>
              <w:jc w:val="left"/>
              <w:rPr>
                <w:sz w:val="24"/>
              </w:rPr>
            </w:pPr>
            <w:r>
              <w:rPr>
                <w:spacing w:val="-2"/>
                <w:sz w:val="24"/>
              </w:rPr>
              <w:t xml:space="preserve">Database </w:t>
            </w:r>
            <w:r>
              <w:rPr>
                <w:spacing w:val="-6"/>
                <w:sz w:val="24"/>
              </w:rPr>
              <w:t>Administrator</w:t>
            </w:r>
          </w:p>
        </w:tc>
        <w:tc>
          <w:tcPr>
            <w:tcW w:w="1479" w:type="dxa"/>
          </w:tcPr>
          <w:p>
            <w:pPr>
              <w:pStyle w:val="TableParagraph"/>
              <w:spacing w:before="179"/>
              <w:ind w:left="23"/>
              <w:rPr>
                <w:sz w:val="24"/>
              </w:rPr>
            </w:pPr>
            <w:r>
              <w:rPr>
                <w:spacing w:val="-5"/>
                <w:sz w:val="24"/>
              </w:rPr>
              <w:t>374</w:t>
            </w:r>
          </w:p>
        </w:tc>
        <w:tc>
          <w:tcPr>
            <w:tcW w:w="1755" w:type="dxa"/>
          </w:tcPr>
          <w:p>
            <w:pPr>
              <w:pStyle w:val="TableParagraph"/>
              <w:spacing w:before="179"/>
              <w:ind w:left="19"/>
              <w:rPr>
                <w:sz w:val="24"/>
              </w:rPr>
            </w:pPr>
            <w:r>
              <w:rPr>
                <w:spacing w:val="-2"/>
                <w:sz w:val="24"/>
              </w:rPr>
              <w:t>$100.60</w:t>
            </w:r>
          </w:p>
        </w:tc>
        <w:tc>
          <w:tcPr>
            <w:tcW w:w="1109" w:type="dxa"/>
          </w:tcPr>
          <w:p>
            <w:pPr>
              <w:pStyle w:val="TableParagraph"/>
              <w:spacing w:before="179"/>
              <w:ind w:left="21"/>
              <w:rPr>
                <w:sz w:val="24"/>
              </w:rPr>
            </w:pPr>
            <w:r>
              <w:rPr>
                <w:spacing w:val="-5"/>
                <w:sz w:val="24"/>
              </w:rPr>
              <w:t>737</w:t>
            </w:r>
          </w:p>
        </w:tc>
        <w:tc>
          <w:tcPr>
            <w:tcW w:w="1479" w:type="dxa"/>
          </w:tcPr>
          <w:p>
            <w:pPr>
              <w:pStyle w:val="TableParagraph"/>
              <w:spacing w:before="179"/>
              <w:ind w:left="23" w:right="6"/>
              <w:rPr>
                <w:sz w:val="24"/>
              </w:rPr>
            </w:pPr>
            <w:r>
              <w:rPr>
                <w:spacing w:val="-2"/>
                <w:sz w:val="24"/>
              </w:rPr>
              <w:t>$74,142.20</w:t>
            </w:r>
          </w:p>
        </w:tc>
        <w:tc>
          <w:tcPr>
            <w:tcW w:w="1853" w:type="dxa"/>
          </w:tcPr>
          <w:p>
            <w:pPr>
              <w:pStyle w:val="TableParagraph"/>
              <w:spacing w:before="179"/>
              <w:ind w:left="17"/>
              <w:rPr>
                <w:sz w:val="24"/>
              </w:rPr>
            </w:pPr>
            <w:r>
              <w:rPr>
                <w:spacing w:val="-2"/>
                <w:sz w:val="24"/>
              </w:rPr>
              <w:t>$27,729,182.80</w:t>
            </w:r>
          </w:p>
        </w:tc>
      </w:tr>
      <w:tr>
        <w:tblPrEx>
          <w:tblW w:w="0" w:type="auto"/>
          <w:jc w:val="left"/>
          <w:tblInd w:w="250" w:type="dxa"/>
          <w:tblLayout w:type="fixed"/>
          <w:tblCellMar>
            <w:top w:w="0" w:type="dxa"/>
            <w:left w:w="0" w:type="dxa"/>
            <w:bottom w:w="0" w:type="dxa"/>
            <w:right w:w="0" w:type="dxa"/>
          </w:tblCellMar>
          <w:tblLook w:val="01E0"/>
        </w:tblPrEx>
        <w:trPr>
          <w:trHeight w:val="630"/>
          <w:jc w:val="left"/>
        </w:trPr>
        <w:tc>
          <w:tcPr>
            <w:tcW w:w="1937" w:type="dxa"/>
          </w:tcPr>
          <w:p>
            <w:pPr>
              <w:pStyle w:val="TableParagraph"/>
              <w:ind w:left="71"/>
              <w:jc w:val="left"/>
              <w:rPr>
                <w:sz w:val="24"/>
              </w:rPr>
            </w:pPr>
            <w:r>
              <w:rPr>
                <w:spacing w:val="-6"/>
                <w:sz w:val="24"/>
              </w:rPr>
              <w:t xml:space="preserve">Administrative </w:t>
            </w:r>
            <w:r>
              <w:rPr>
                <w:spacing w:val="-2"/>
                <w:sz w:val="24"/>
              </w:rPr>
              <w:t>Assistant</w:t>
            </w:r>
          </w:p>
        </w:tc>
        <w:tc>
          <w:tcPr>
            <w:tcW w:w="1479" w:type="dxa"/>
          </w:tcPr>
          <w:p>
            <w:pPr>
              <w:pStyle w:val="TableParagraph"/>
              <w:spacing w:before="179"/>
              <w:ind w:left="23"/>
              <w:rPr>
                <w:sz w:val="24"/>
              </w:rPr>
            </w:pPr>
            <w:r>
              <w:rPr>
                <w:spacing w:val="-5"/>
                <w:sz w:val="24"/>
              </w:rPr>
              <w:t>374</w:t>
            </w:r>
          </w:p>
        </w:tc>
        <w:tc>
          <w:tcPr>
            <w:tcW w:w="1755" w:type="dxa"/>
          </w:tcPr>
          <w:p>
            <w:pPr>
              <w:pStyle w:val="TableParagraph"/>
              <w:spacing w:before="179"/>
              <w:ind w:left="19" w:right="2"/>
              <w:rPr>
                <w:sz w:val="24"/>
              </w:rPr>
            </w:pPr>
            <w:r>
              <w:rPr>
                <w:spacing w:val="-2"/>
                <w:sz w:val="24"/>
              </w:rPr>
              <w:t>$44.52</w:t>
            </w:r>
          </w:p>
        </w:tc>
        <w:tc>
          <w:tcPr>
            <w:tcW w:w="1109" w:type="dxa"/>
          </w:tcPr>
          <w:p>
            <w:pPr>
              <w:pStyle w:val="TableParagraph"/>
              <w:spacing w:before="179"/>
              <w:ind w:left="21"/>
              <w:rPr>
                <w:sz w:val="24"/>
              </w:rPr>
            </w:pPr>
            <w:r>
              <w:rPr>
                <w:spacing w:val="-5"/>
                <w:sz w:val="24"/>
              </w:rPr>
              <w:t>737</w:t>
            </w:r>
          </w:p>
        </w:tc>
        <w:tc>
          <w:tcPr>
            <w:tcW w:w="1479" w:type="dxa"/>
          </w:tcPr>
          <w:p>
            <w:pPr>
              <w:pStyle w:val="TableParagraph"/>
              <w:spacing w:before="179"/>
              <w:ind w:left="23" w:right="6"/>
              <w:rPr>
                <w:sz w:val="24"/>
              </w:rPr>
            </w:pPr>
            <w:r>
              <w:rPr>
                <w:spacing w:val="-2"/>
                <w:sz w:val="24"/>
              </w:rPr>
              <w:t>$32,811.24</w:t>
            </w:r>
          </w:p>
        </w:tc>
        <w:tc>
          <w:tcPr>
            <w:tcW w:w="1853" w:type="dxa"/>
          </w:tcPr>
          <w:p>
            <w:pPr>
              <w:pStyle w:val="TableParagraph"/>
              <w:spacing w:before="179"/>
              <w:ind w:left="17"/>
              <w:rPr>
                <w:sz w:val="24"/>
              </w:rPr>
            </w:pPr>
            <w:r>
              <w:rPr>
                <w:spacing w:val="-2"/>
                <w:sz w:val="24"/>
              </w:rPr>
              <w:t>$12,271,403.76</w:t>
            </w:r>
          </w:p>
        </w:tc>
      </w:tr>
      <w:tr>
        <w:tblPrEx>
          <w:tblW w:w="0" w:type="auto"/>
          <w:jc w:val="left"/>
          <w:tblInd w:w="250" w:type="dxa"/>
          <w:tblLayout w:type="fixed"/>
          <w:tblCellMar>
            <w:top w:w="0" w:type="dxa"/>
            <w:left w:w="0" w:type="dxa"/>
            <w:bottom w:w="0" w:type="dxa"/>
            <w:right w:w="0" w:type="dxa"/>
          </w:tblCellMar>
          <w:tblLook w:val="01E0"/>
        </w:tblPrEx>
        <w:trPr>
          <w:trHeight w:val="357"/>
          <w:jc w:val="left"/>
        </w:trPr>
        <w:tc>
          <w:tcPr>
            <w:tcW w:w="1937" w:type="dxa"/>
          </w:tcPr>
          <w:p>
            <w:pPr>
              <w:pStyle w:val="TableParagraph"/>
              <w:spacing w:before="42"/>
              <w:ind w:left="71"/>
              <w:jc w:val="left"/>
              <w:rPr>
                <w:b/>
                <w:sz w:val="24"/>
              </w:rPr>
            </w:pPr>
            <w:r>
              <w:rPr>
                <w:b/>
                <w:sz w:val="24"/>
              </w:rPr>
              <w:t>Total</w:t>
            </w:r>
            <w:r>
              <w:rPr>
                <w:b/>
                <w:spacing w:val="57"/>
                <w:sz w:val="24"/>
              </w:rPr>
              <w:t xml:space="preserve"> </w:t>
            </w:r>
            <w:r>
              <w:rPr>
                <w:b/>
                <w:spacing w:val="-2"/>
                <w:sz w:val="24"/>
              </w:rPr>
              <w:t>Annual</w:t>
            </w:r>
          </w:p>
        </w:tc>
        <w:tc>
          <w:tcPr>
            <w:tcW w:w="1479" w:type="dxa"/>
          </w:tcPr>
          <w:p>
            <w:pPr>
              <w:pStyle w:val="TableParagraph"/>
              <w:spacing w:before="0"/>
              <w:jc w:val="left"/>
              <w:rPr>
                <w:sz w:val="22"/>
              </w:rPr>
            </w:pPr>
          </w:p>
        </w:tc>
        <w:tc>
          <w:tcPr>
            <w:tcW w:w="1755" w:type="dxa"/>
          </w:tcPr>
          <w:p>
            <w:pPr>
              <w:pStyle w:val="TableParagraph"/>
              <w:spacing w:before="0"/>
              <w:jc w:val="left"/>
              <w:rPr>
                <w:sz w:val="22"/>
              </w:rPr>
            </w:pPr>
          </w:p>
        </w:tc>
        <w:tc>
          <w:tcPr>
            <w:tcW w:w="1109" w:type="dxa"/>
          </w:tcPr>
          <w:p>
            <w:pPr>
              <w:pStyle w:val="TableParagraph"/>
              <w:spacing w:before="42"/>
              <w:ind w:left="21" w:right="5"/>
              <w:rPr>
                <w:b/>
                <w:sz w:val="24"/>
              </w:rPr>
            </w:pPr>
            <w:r>
              <w:rPr>
                <w:b/>
                <w:spacing w:val="-2"/>
                <w:sz w:val="24"/>
              </w:rPr>
              <w:t>551,276</w:t>
            </w:r>
          </w:p>
        </w:tc>
        <w:tc>
          <w:tcPr>
            <w:tcW w:w="1479" w:type="dxa"/>
          </w:tcPr>
          <w:p>
            <w:pPr>
              <w:pStyle w:val="TableParagraph"/>
              <w:spacing w:before="53"/>
              <w:ind w:left="23" w:right="1"/>
              <w:rPr>
                <w:b/>
                <w:sz w:val="22"/>
              </w:rPr>
            </w:pPr>
            <w:r>
              <w:rPr>
                <w:b/>
                <w:spacing w:val="-2"/>
                <w:sz w:val="22"/>
              </w:rPr>
              <w:t>$106,953.44</w:t>
            </w:r>
          </w:p>
        </w:tc>
        <w:tc>
          <w:tcPr>
            <w:tcW w:w="1853" w:type="dxa"/>
          </w:tcPr>
          <w:p>
            <w:pPr>
              <w:pStyle w:val="TableParagraph"/>
              <w:spacing w:before="42"/>
              <w:ind w:left="17" w:right="3"/>
              <w:rPr>
                <w:b/>
                <w:sz w:val="24"/>
              </w:rPr>
            </w:pPr>
            <w:r>
              <w:rPr>
                <w:b/>
                <w:spacing w:val="-2"/>
                <w:sz w:val="24"/>
              </w:rPr>
              <w:t>$40,000,586.56</w:t>
            </w:r>
          </w:p>
        </w:tc>
      </w:tr>
      <w:tr>
        <w:tblPrEx>
          <w:tblW w:w="0" w:type="auto"/>
          <w:jc w:val="left"/>
          <w:tblInd w:w="250" w:type="dxa"/>
          <w:tblLayout w:type="fixed"/>
          <w:tblCellMar>
            <w:top w:w="0" w:type="dxa"/>
            <w:left w:w="0" w:type="dxa"/>
            <w:bottom w:w="0" w:type="dxa"/>
            <w:right w:w="0" w:type="dxa"/>
          </w:tblCellMar>
          <w:tblLook w:val="01E0"/>
        </w:tblPrEx>
        <w:trPr>
          <w:trHeight w:val="633"/>
          <w:jc w:val="left"/>
        </w:trPr>
        <w:tc>
          <w:tcPr>
            <w:tcW w:w="1937" w:type="dxa"/>
          </w:tcPr>
          <w:p>
            <w:pPr>
              <w:pStyle w:val="TableParagraph"/>
              <w:ind w:left="71" w:right="631"/>
              <w:jc w:val="left"/>
              <w:rPr>
                <w:b/>
                <w:sz w:val="24"/>
              </w:rPr>
            </w:pPr>
            <w:r>
              <w:rPr>
                <w:b/>
                <w:sz w:val="24"/>
              </w:rPr>
              <w:t>Total</w:t>
            </w:r>
            <w:r>
              <w:rPr>
                <w:b/>
                <w:spacing w:val="-15"/>
                <w:sz w:val="24"/>
              </w:rPr>
              <w:t xml:space="preserve"> </w:t>
            </w:r>
            <w:r>
              <w:rPr>
                <w:b/>
                <w:sz w:val="24"/>
              </w:rPr>
              <w:t xml:space="preserve">Three </w:t>
            </w:r>
            <w:r>
              <w:rPr>
                <w:b/>
                <w:spacing w:val="-4"/>
                <w:sz w:val="24"/>
              </w:rPr>
              <w:t>Years</w:t>
            </w:r>
          </w:p>
        </w:tc>
        <w:tc>
          <w:tcPr>
            <w:tcW w:w="1479" w:type="dxa"/>
          </w:tcPr>
          <w:p>
            <w:pPr>
              <w:pStyle w:val="TableParagraph"/>
              <w:spacing w:before="0"/>
              <w:jc w:val="left"/>
              <w:rPr>
                <w:sz w:val="22"/>
              </w:rPr>
            </w:pPr>
          </w:p>
        </w:tc>
        <w:tc>
          <w:tcPr>
            <w:tcW w:w="1755" w:type="dxa"/>
          </w:tcPr>
          <w:p>
            <w:pPr>
              <w:pStyle w:val="TableParagraph"/>
              <w:spacing w:before="0"/>
              <w:jc w:val="left"/>
              <w:rPr>
                <w:sz w:val="22"/>
              </w:rPr>
            </w:pPr>
          </w:p>
        </w:tc>
        <w:tc>
          <w:tcPr>
            <w:tcW w:w="1109" w:type="dxa"/>
          </w:tcPr>
          <w:p>
            <w:pPr>
              <w:pStyle w:val="TableParagraph"/>
              <w:spacing w:before="179"/>
              <w:ind w:left="21" w:right="3"/>
              <w:rPr>
                <w:b/>
                <w:sz w:val="24"/>
              </w:rPr>
            </w:pPr>
            <w:r>
              <w:rPr>
                <w:b/>
                <w:spacing w:val="-2"/>
                <w:sz w:val="24"/>
              </w:rPr>
              <w:t>1,653,828</w:t>
            </w:r>
          </w:p>
        </w:tc>
        <w:tc>
          <w:tcPr>
            <w:tcW w:w="1479" w:type="dxa"/>
          </w:tcPr>
          <w:p>
            <w:pPr>
              <w:pStyle w:val="TableParagraph"/>
              <w:spacing w:before="0"/>
              <w:jc w:val="left"/>
              <w:rPr>
                <w:sz w:val="22"/>
              </w:rPr>
            </w:pPr>
          </w:p>
        </w:tc>
        <w:tc>
          <w:tcPr>
            <w:tcW w:w="1853" w:type="dxa"/>
          </w:tcPr>
          <w:p>
            <w:pPr>
              <w:pStyle w:val="TableParagraph"/>
              <w:spacing w:before="179"/>
              <w:ind w:left="17"/>
              <w:rPr>
                <w:b/>
                <w:sz w:val="24"/>
              </w:rPr>
            </w:pPr>
            <w:r>
              <w:rPr>
                <w:b/>
                <w:spacing w:val="-2"/>
                <w:sz w:val="24"/>
              </w:rPr>
              <w:t>$120,001,759.68</w:t>
            </w:r>
          </w:p>
        </w:tc>
      </w:tr>
    </w:tbl>
    <w:p>
      <w:pPr>
        <w:pStyle w:val="BodyText"/>
        <w:spacing w:before="169"/>
        <w:ind w:right="216"/>
      </w:pPr>
      <w:r>
        <w:t>In</w:t>
      </w:r>
      <w:r>
        <w:rPr>
          <w:spacing w:val="-2"/>
        </w:rPr>
        <w:t xml:space="preserve"> </w:t>
      </w:r>
      <w:r>
        <w:t>§156.230(e),</w:t>
      </w:r>
      <w:r>
        <w:rPr>
          <w:spacing w:val="-1"/>
        </w:rPr>
        <w:t xml:space="preserve"> </w:t>
      </w:r>
      <w:r>
        <w:t>we</w:t>
      </w:r>
      <w:r>
        <w:rPr>
          <w:spacing w:val="-3"/>
        </w:rPr>
        <w:t xml:space="preserve"> </w:t>
      </w:r>
      <w:r>
        <w:t>require</w:t>
      </w:r>
      <w:r>
        <w:rPr>
          <w:spacing w:val="-3"/>
        </w:rPr>
        <w:t xml:space="preserve"> </w:t>
      </w:r>
      <w:r>
        <w:t>issuers</w:t>
      </w:r>
      <w:r>
        <w:rPr>
          <w:spacing w:val="-2"/>
        </w:rPr>
        <w:t xml:space="preserve"> </w:t>
      </w:r>
      <w:r>
        <w:t>that</w:t>
      </w:r>
      <w:r>
        <w:rPr>
          <w:spacing w:val="-2"/>
        </w:rPr>
        <w:t xml:space="preserve"> </w:t>
      </w:r>
      <w:r>
        <w:t>use</w:t>
      </w:r>
      <w:r>
        <w:rPr>
          <w:spacing w:val="-2"/>
        </w:rPr>
        <w:t xml:space="preserve"> </w:t>
      </w:r>
      <w:r>
        <w:t>a</w:t>
      </w:r>
      <w:r>
        <w:rPr>
          <w:spacing w:val="-3"/>
        </w:rPr>
        <w:t xml:space="preserve"> </w:t>
      </w:r>
      <w:r>
        <w:t>provider</w:t>
      </w:r>
      <w:r>
        <w:rPr>
          <w:spacing w:val="-3"/>
        </w:rPr>
        <w:t xml:space="preserve"> </w:t>
      </w:r>
      <w:r>
        <w:t>network</w:t>
      </w:r>
      <w:r>
        <w:rPr>
          <w:spacing w:val="-2"/>
        </w:rPr>
        <w:t xml:space="preserve"> </w:t>
      </w:r>
      <w:r>
        <w:t>to</w:t>
      </w:r>
      <w:r>
        <w:rPr>
          <w:spacing w:val="-2"/>
        </w:rPr>
        <w:t xml:space="preserve"> </w:t>
      </w:r>
      <w:r>
        <w:t>provide</w:t>
      </w:r>
      <w:r>
        <w:rPr>
          <w:spacing w:val="-3"/>
        </w:rPr>
        <w:t xml:space="preserve"> </w:t>
      </w:r>
      <w:r>
        <w:t>a</w:t>
      </w:r>
      <w:r>
        <w:rPr>
          <w:spacing w:val="-2"/>
        </w:rPr>
        <w:t xml:space="preserve"> </w:t>
      </w:r>
      <w:r>
        <w:t>notice</w:t>
      </w:r>
      <w:r>
        <w:rPr>
          <w:spacing w:val="-3"/>
        </w:rPr>
        <w:t xml:space="preserve"> </w:t>
      </w:r>
      <w:r>
        <w:t>to</w:t>
      </w:r>
      <w:r>
        <w:rPr>
          <w:spacing w:val="-2"/>
        </w:rPr>
        <w:t xml:space="preserve"> </w:t>
      </w:r>
      <w:r>
        <w:t>enrollees</w:t>
      </w:r>
      <w:r>
        <w:rPr>
          <w:spacing w:val="-2"/>
        </w:rPr>
        <w:t xml:space="preserve"> </w:t>
      </w:r>
      <w:r>
        <w:t>of</w:t>
      </w:r>
      <w:r>
        <w:rPr>
          <w:spacing w:val="-3"/>
        </w:rPr>
        <w:t xml:space="preserve"> </w:t>
      </w:r>
      <w:r>
        <w:t>the possibility of out-of- network charges from an ancillary out-of-network provider in an in-network setting prior to the benefit being provided, to avoid counting the out-of-network costs against the annual limitation on cost sharing. This provision applies to all 374 issuers. We estimate it would take an issuer’s mid-level operations research analyst at an hourly wage rate of $87.78 approximately 6 minutes to create a notification and send the information. We estimate that approximately two notices would be sent for every 100 enrollees. Assuming approximately</w:t>
      </w:r>
    </w:p>
    <w:p>
      <w:pPr>
        <w:pStyle w:val="BodyText"/>
        <w:spacing w:before="0"/>
        <w:ind w:right="229"/>
      </w:pPr>
      <w:r>
        <w:t>10.25</w:t>
      </w:r>
      <w:r>
        <w:rPr>
          <w:spacing w:val="-3"/>
        </w:rPr>
        <w:t xml:space="preserve"> </w:t>
      </w:r>
      <w:r>
        <w:t>million</w:t>
      </w:r>
      <w:r>
        <w:rPr>
          <w:spacing w:val="-3"/>
        </w:rPr>
        <w:t xml:space="preserve"> </w:t>
      </w:r>
      <w:r>
        <w:t>FFE</w:t>
      </w:r>
      <w:r>
        <w:rPr>
          <w:spacing w:val="-4"/>
        </w:rPr>
        <w:t xml:space="preserve"> </w:t>
      </w:r>
      <w:r>
        <w:t>enrollees</w:t>
      </w:r>
      <w:r>
        <w:rPr>
          <w:spacing w:val="-3"/>
        </w:rPr>
        <w:t xml:space="preserve"> </w:t>
      </w:r>
      <w:r>
        <w:t>in</w:t>
      </w:r>
      <w:r>
        <w:rPr>
          <w:spacing w:val="-3"/>
        </w:rPr>
        <w:t xml:space="preserve"> </w:t>
      </w:r>
      <w:r>
        <w:t>QHPs</w:t>
      </w:r>
      <w:r>
        <w:rPr>
          <w:spacing w:val="-8"/>
        </w:rPr>
        <w:t xml:space="preserve"> </w:t>
      </w:r>
      <w:r>
        <w:t>for</w:t>
      </w:r>
      <w:r>
        <w:rPr>
          <w:spacing w:val="-7"/>
        </w:rPr>
        <w:t xml:space="preserve"> </w:t>
      </w:r>
      <w:r>
        <w:t>2022</w:t>
      </w:r>
      <w:r>
        <w:rPr>
          <w:spacing w:val="-39"/>
        </w:rPr>
        <w:t xml:space="preserve"> </w:t>
      </w:r>
      <w:hyperlink w:anchor="_bookmark0" w:history="1">
        <w:r>
          <w:rPr>
            <w:vertAlign w:val="superscript"/>
          </w:rPr>
          <w:t>1</w:t>
        </w:r>
      </w:hyperlink>
      <w:r>
        <w:rPr>
          <w:vertAlign w:val="baseline"/>
        </w:rPr>
        <w:t>,</w:t>
      </w:r>
      <w:r>
        <w:rPr>
          <w:spacing w:val="-6"/>
          <w:vertAlign w:val="baseline"/>
        </w:rPr>
        <w:t xml:space="preserve"> </w:t>
      </w:r>
      <w:r>
        <w:rPr>
          <w:vertAlign w:val="baseline"/>
        </w:rPr>
        <w:t>we</w:t>
      </w:r>
      <w:r>
        <w:rPr>
          <w:spacing w:val="-7"/>
          <w:vertAlign w:val="baseline"/>
        </w:rPr>
        <w:t xml:space="preserve"> </w:t>
      </w:r>
      <w:r>
        <w:rPr>
          <w:vertAlign w:val="baseline"/>
        </w:rPr>
        <w:t>estimate</w:t>
      </w:r>
      <w:r>
        <w:rPr>
          <w:spacing w:val="-7"/>
          <w:vertAlign w:val="baseline"/>
        </w:rPr>
        <w:t xml:space="preserve"> </w:t>
      </w:r>
      <w:r>
        <w:rPr>
          <w:vertAlign w:val="baseline"/>
        </w:rPr>
        <w:t>QHPs</w:t>
      </w:r>
      <w:r>
        <w:rPr>
          <w:spacing w:val="-6"/>
          <w:vertAlign w:val="baseline"/>
        </w:rPr>
        <w:t xml:space="preserve"> </w:t>
      </w:r>
      <w:r>
        <w:rPr>
          <w:vertAlign w:val="baseline"/>
        </w:rPr>
        <w:t>would</w:t>
      </w:r>
      <w:r>
        <w:rPr>
          <w:spacing w:val="-6"/>
          <w:vertAlign w:val="baseline"/>
        </w:rPr>
        <w:t xml:space="preserve"> </w:t>
      </w:r>
      <w:r>
        <w:rPr>
          <w:vertAlign w:val="baseline"/>
        </w:rPr>
        <w:t>send</w:t>
      </w:r>
      <w:r>
        <w:rPr>
          <w:spacing w:val="-6"/>
          <w:vertAlign w:val="baseline"/>
        </w:rPr>
        <w:t xml:space="preserve"> </w:t>
      </w:r>
      <w:r>
        <w:rPr>
          <w:vertAlign w:val="baseline"/>
        </w:rPr>
        <w:t>approximately 205,000 total notices annually, for a total 20,500 hours, at a total cost of $1,799,067.16.</w:t>
      </w:r>
    </w:p>
    <w:p>
      <w:pPr>
        <w:pStyle w:val="BodyText"/>
        <w:spacing w:before="0"/>
        <w:ind w:left="0"/>
        <w:rPr>
          <w:sz w:val="20"/>
        </w:rPr>
      </w:pPr>
    </w:p>
    <w:p>
      <w:pPr>
        <w:pStyle w:val="BodyText"/>
        <w:spacing w:before="148"/>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838200</wp:posOffset>
                </wp:positionH>
                <wp:positionV relativeFrom="paragraph">
                  <wp:posOffset>255429</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6pt;margin-top:20.11pt;margin-left:66pt;mso-position-horizontal-relative:page;mso-wrap-distance-left:0;mso-wrap-distance-right:0;position:absolute;z-index:-251657216" filled="t" fillcolor="black" stroked="f">
                <v:fill type="solid"/>
                <w10:wrap type="topAndBottom"/>
              </v:rect>
            </w:pict>
          </mc:Fallback>
        </mc:AlternateContent>
      </w:r>
    </w:p>
    <w:p>
      <w:pPr>
        <w:spacing w:before="94"/>
        <w:ind w:left="240" w:right="785" w:hanging="1"/>
        <w:jc w:val="left"/>
        <w:rPr>
          <w:sz w:val="20"/>
        </w:rPr>
      </w:pPr>
      <w:bookmarkStart w:id="15" w:name="_bookmark0"/>
      <w:bookmarkEnd w:id="15"/>
      <w:r>
        <w:rPr>
          <w:sz w:val="20"/>
          <w:vertAlign w:val="superscript"/>
        </w:rPr>
        <w:t>1</w:t>
      </w:r>
      <w:r>
        <w:rPr>
          <w:sz w:val="20"/>
          <w:vertAlign w:val="baseline"/>
        </w:rPr>
        <w:t xml:space="preserve"> We used the Marketplace 2022 Open Enrollment Period Report: Final National Snapshot available at </w:t>
      </w:r>
      <w:hyperlink r:id="rId6">
        <w:r>
          <w:rPr>
            <w:color w:val="0000FF"/>
            <w:spacing w:val="-4"/>
            <w:sz w:val="20"/>
            <w:u w:val="single" w:color="0000FF"/>
            <w:vertAlign w:val="baseline"/>
          </w:rPr>
          <w:t>https://www.cms.gov/newsroom/fact-sheets/marketplace-2022-open-enrollment-period-report-final-national-snapshot</w:t>
        </w:r>
        <w:r>
          <w:rPr>
            <w:spacing w:val="-4"/>
            <w:sz w:val="20"/>
            <w:u w:val="none"/>
            <w:vertAlign w:val="baseline"/>
          </w:rPr>
          <w:t>.</w:t>
        </w:r>
      </w:hyperlink>
    </w:p>
    <w:p>
      <w:pPr>
        <w:spacing w:after="0"/>
        <w:jc w:val="left"/>
        <w:rPr>
          <w:sz w:val="20"/>
        </w:rPr>
        <w:sectPr>
          <w:pgSz w:w="12240" w:h="15840"/>
          <w:pgMar w:top="1560" w:right="1080" w:bottom="1380" w:left="1080" w:header="0" w:footer="1183"/>
          <w:cols w:space="720"/>
        </w:sectPr>
      </w:pPr>
    </w:p>
    <w:p>
      <w:pPr>
        <w:pStyle w:val="BodyText"/>
        <w:spacing w:before="78"/>
        <w:ind w:right="555"/>
      </w:pPr>
      <w:r>
        <w:t>Pursuant to section 156.230(e) QHP issuers that use a provider network must, notwithstanding 45 CFR 156.130(c), count the cost sharing paid by an enrollee for an out-of-network essential health</w:t>
      </w:r>
      <w:r>
        <w:rPr>
          <w:spacing w:val="-4"/>
        </w:rPr>
        <w:t xml:space="preserve"> </w:t>
      </w:r>
      <w:r>
        <w:t>benefit</w:t>
      </w:r>
      <w:r>
        <w:rPr>
          <w:spacing w:val="-4"/>
        </w:rPr>
        <w:t xml:space="preserve"> </w:t>
      </w:r>
      <w:r>
        <w:t>(EHB)</w:t>
      </w:r>
      <w:r>
        <w:rPr>
          <w:spacing w:val="-7"/>
        </w:rPr>
        <w:t xml:space="preserve"> </w:t>
      </w:r>
      <w:r>
        <w:t>provided</w:t>
      </w:r>
      <w:r>
        <w:rPr>
          <w:spacing w:val="-4"/>
        </w:rPr>
        <w:t xml:space="preserve"> </w:t>
      </w:r>
      <w:r>
        <w:t>by</w:t>
      </w:r>
      <w:r>
        <w:rPr>
          <w:spacing w:val="-4"/>
        </w:rPr>
        <w:t xml:space="preserve"> </w:t>
      </w:r>
      <w:r>
        <w:t>an</w:t>
      </w:r>
      <w:r>
        <w:rPr>
          <w:spacing w:val="-4"/>
        </w:rPr>
        <w:t xml:space="preserve"> </w:t>
      </w:r>
      <w:r>
        <w:t>out-of-network</w:t>
      </w:r>
      <w:r>
        <w:rPr>
          <w:spacing w:val="-4"/>
        </w:rPr>
        <w:t xml:space="preserve"> </w:t>
      </w:r>
      <w:r>
        <w:t>ancillary</w:t>
      </w:r>
      <w:r>
        <w:rPr>
          <w:spacing w:val="-4"/>
        </w:rPr>
        <w:t xml:space="preserve"> </w:t>
      </w:r>
      <w:r>
        <w:t>provider</w:t>
      </w:r>
      <w:r>
        <w:rPr>
          <w:spacing w:val="-5"/>
        </w:rPr>
        <w:t xml:space="preserve"> </w:t>
      </w:r>
      <w:r>
        <w:t>in</w:t>
      </w:r>
      <w:r>
        <w:rPr>
          <w:spacing w:val="-4"/>
        </w:rPr>
        <w:t xml:space="preserve"> </w:t>
      </w:r>
      <w:r>
        <w:t>an</w:t>
      </w:r>
      <w:r>
        <w:rPr>
          <w:spacing w:val="-4"/>
        </w:rPr>
        <w:t xml:space="preserve"> </w:t>
      </w:r>
      <w:r>
        <w:t>in-network</w:t>
      </w:r>
      <w:r>
        <w:rPr>
          <w:spacing w:val="-4"/>
        </w:rPr>
        <w:t xml:space="preserve"> </w:t>
      </w:r>
      <w:r>
        <w:t>setting towards the enrollee’s annual limitation on cost sharing</w:t>
      </w:r>
      <w:r>
        <w:rPr>
          <w:spacing w:val="-2"/>
        </w:rPr>
        <w:t xml:space="preserve"> </w:t>
      </w:r>
      <w:r>
        <w:t>or</w:t>
      </w:r>
      <w:r>
        <w:rPr>
          <w:spacing w:val="-2"/>
        </w:rPr>
        <w:t xml:space="preserve"> </w:t>
      </w:r>
      <w:r>
        <w:t>provide a notice to the enrollee that additional costs may be incurred.</w:t>
      </w:r>
    </w:p>
    <w:p>
      <w:pPr>
        <w:pStyle w:val="Heading2"/>
        <w:ind w:left="239"/>
      </w:pPr>
      <w:r>
        <w:rPr>
          <w:spacing w:val="-2"/>
        </w:rPr>
        <w:t>Table</w:t>
      </w:r>
      <w:r>
        <w:rPr>
          <w:spacing w:val="-18"/>
        </w:rPr>
        <w:t xml:space="preserve"> </w:t>
      </w:r>
      <w:r>
        <w:rPr>
          <w:spacing w:val="-2"/>
        </w:rPr>
        <w:t>3.</w:t>
      </w:r>
      <w:r>
        <w:rPr>
          <w:spacing w:val="-11"/>
        </w:rPr>
        <w:t xml:space="preserve"> </w:t>
      </w:r>
      <w:r>
        <w:rPr>
          <w:spacing w:val="-2"/>
        </w:rPr>
        <w:t>Burden</w:t>
      </w:r>
      <w:r>
        <w:rPr>
          <w:spacing w:val="-12"/>
        </w:rPr>
        <w:t xml:space="preserve"> </w:t>
      </w:r>
      <w:r>
        <w:rPr>
          <w:spacing w:val="-2"/>
        </w:rPr>
        <w:t>for</w:t>
      </w:r>
      <w:r>
        <w:rPr>
          <w:spacing w:val="-13"/>
        </w:rPr>
        <w:t xml:space="preserve"> </w:t>
      </w:r>
      <w:r>
        <w:rPr>
          <w:spacing w:val="-2"/>
        </w:rPr>
        <w:t>Issuers:</w:t>
      </w:r>
      <w:r>
        <w:rPr>
          <w:spacing w:val="-13"/>
        </w:rPr>
        <w:t xml:space="preserve"> </w:t>
      </w:r>
      <w:r>
        <w:rPr>
          <w:spacing w:val="-2"/>
        </w:rPr>
        <w:t>Written</w:t>
      </w:r>
      <w:r>
        <w:rPr>
          <w:spacing w:val="-7"/>
        </w:rPr>
        <w:t xml:space="preserve"> </w:t>
      </w:r>
      <w:r>
        <w:rPr>
          <w:spacing w:val="-2"/>
        </w:rPr>
        <w:t>Notice</w:t>
      </w:r>
      <w:r>
        <w:rPr>
          <w:spacing w:val="-13"/>
        </w:rPr>
        <w:t xml:space="preserve"> </w:t>
      </w:r>
      <w:r>
        <w:rPr>
          <w:spacing w:val="-2"/>
        </w:rPr>
        <w:t>of</w:t>
      </w:r>
      <w:r>
        <w:rPr>
          <w:spacing w:val="-4"/>
        </w:rPr>
        <w:t xml:space="preserve"> </w:t>
      </w:r>
      <w:r>
        <w:rPr>
          <w:spacing w:val="-2"/>
        </w:rPr>
        <w:t>the</w:t>
      </w:r>
      <w:r>
        <w:rPr>
          <w:spacing w:val="-16"/>
        </w:rPr>
        <w:t xml:space="preserve"> </w:t>
      </w:r>
      <w:r>
        <w:rPr>
          <w:spacing w:val="-2"/>
        </w:rPr>
        <w:t>Possibility</w:t>
      </w:r>
      <w:r>
        <w:rPr>
          <w:spacing w:val="-10"/>
        </w:rPr>
        <w:t xml:space="preserve"> </w:t>
      </w:r>
      <w:r>
        <w:rPr>
          <w:spacing w:val="-2"/>
        </w:rPr>
        <w:t>of</w:t>
      </w:r>
      <w:r>
        <w:rPr>
          <w:spacing w:val="-8"/>
        </w:rPr>
        <w:t xml:space="preserve"> </w:t>
      </w:r>
      <w:r>
        <w:rPr>
          <w:spacing w:val="-2"/>
        </w:rPr>
        <w:t>Out-of-Network</w:t>
      </w:r>
      <w:r>
        <w:rPr>
          <w:spacing w:val="-7"/>
        </w:rPr>
        <w:t xml:space="preserve"> </w:t>
      </w:r>
      <w:r>
        <w:rPr>
          <w:spacing w:val="-2"/>
        </w:rPr>
        <w:t>Charges</w:t>
      </w:r>
    </w:p>
    <w:p>
      <w:pPr>
        <w:pStyle w:val="BodyText"/>
        <w:spacing w:before="10"/>
        <w:ind w:left="0"/>
        <w:rPr>
          <w:b/>
          <w:sz w:val="14"/>
        </w:rPr>
      </w:pPr>
    </w:p>
    <w:tbl>
      <w:tblPr>
        <w:tblStyle w:val="TableNormal"/>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6"/>
        <w:gridCol w:w="1447"/>
        <w:gridCol w:w="1759"/>
        <w:gridCol w:w="1123"/>
        <w:gridCol w:w="1464"/>
        <w:gridCol w:w="1570"/>
      </w:tblGrid>
      <w:tr>
        <w:tblPrEx>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461"/>
          <w:jc w:val="left"/>
        </w:trPr>
        <w:tc>
          <w:tcPr>
            <w:tcW w:w="2246" w:type="dxa"/>
          </w:tcPr>
          <w:p>
            <w:pPr>
              <w:pStyle w:val="TableParagraph"/>
              <w:spacing w:before="37"/>
              <w:ind w:left="71"/>
              <w:jc w:val="left"/>
              <w:rPr>
                <w:b/>
                <w:sz w:val="24"/>
              </w:rPr>
            </w:pPr>
            <w:r>
              <w:rPr>
                <w:b/>
                <w:sz w:val="24"/>
              </w:rPr>
              <w:t>Labor</w:t>
            </w:r>
            <w:r>
              <w:rPr>
                <w:b/>
                <w:spacing w:val="-12"/>
                <w:sz w:val="24"/>
              </w:rPr>
              <w:t xml:space="preserve"> </w:t>
            </w:r>
            <w:r>
              <w:rPr>
                <w:b/>
                <w:spacing w:val="-2"/>
                <w:sz w:val="24"/>
              </w:rPr>
              <w:t>Category</w:t>
            </w:r>
          </w:p>
        </w:tc>
        <w:tc>
          <w:tcPr>
            <w:tcW w:w="1447" w:type="dxa"/>
          </w:tcPr>
          <w:p>
            <w:pPr>
              <w:pStyle w:val="TableParagraph"/>
              <w:ind w:left="93" w:firstLine="74"/>
              <w:jc w:val="left"/>
              <w:rPr>
                <w:b/>
                <w:sz w:val="24"/>
              </w:rPr>
            </w:pPr>
            <w:r>
              <w:rPr>
                <w:b/>
                <w:sz w:val="24"/>
              </w:rPr>
              <w:t xml:space="preserve">Number of </w:t>
            </w:r>
            <w:r>
              <w:rPr>
                <w:b/>
                <w:spacing w:val="-6"/>
                <w:sz w:val="24"/>
              </w:rPr>
              <w:t>Respondents</w:t>
            </w:r>
          </w:p>
        </w:tc>
        <w:tc>
          <w:tcPr>
            <w:tcW w:w="1759" w:type="dxa"/>
          </w:tcPr>
          <w:p>
            <w:pPr>
              <w:pStyle w:val="TableParagraph"/>
              <w:ind w:left="12"/>
              <w:rPr>
                <w:b/>
                <w:sz w:val="24"/>
              </w:rPr>
            </w:pPr>
            <w:r>
              <w:rPr>
                <w:b/>
                <w:sz w:val="24"/>
              </w:rPr>
              <w:t>Hourly</w:t>
            </w:r>
            <w:r>
              <w:rPr>
                <w:b/>
                <w:spacing w:val="-15"/>
                <w:sz w:val="24"/>
              </w:rPr>
              <w:t xml:space="preserve"> </w:t>
            </w:r>
            <w:r>
              <w:rPr>
                <w:b/>
                <w:sz w:val="24"/>
              </w:rPr>
              <w:t xml:space="preserve">Labor </w:t>
            </w:r>
            <w:r>
              <w:rPr>
                <w:b/>
                <w:spacing w:val="-2"/>
                <w:sz w:val="24"/>
              </w:rPr>
              <w:t>Costs</w:t>
            </w:r>
          </w:p>
          <w:p>
            <w:pPr>
              <w:pStyle w:val="TableParagraph"/>
              <w:spacing w:before="0"/>
              <w:ind w:left="12" w:right="4"/>
              <w:rPr>
                <w:b/>
                <w:sz w:val="24"/>
              </w:rPr>
            </w:pPr>
            <w:r>
              <w:rPr>
                <w:b/>
                <w:sz w:val="24"/>
              </w:rPr>
              <w:t>(Hourly</w:t>
            </w:r>
            <w:r>
              <w:rPr>
                <w:b/>
                <w:spacing w:val="-15"/>
                <w:sz w:val="24"/>
              </w:rPr>
              <w:t xml:space="preserve"> </w:t>
            </w:r>
            <w:r>
              <w:rPr>
                <w:b/>
                <w:sz w:val="24"/>
              </w:rPr>
              <w:t>rate</w:t>
            </w:r>
            <w:r>
              <w:rPr>
                <w:b/>
                <w:spacing w:val="-15"/>
                <w:sz w:val="24"/>
              </w:rPr>
              <w:t xml:space="preserve"> </w:t>
            </w:r>
            <w:r>
              <w:rPr>
                <w:b/>
                <w:sz w:val="24"/>
              </w:rPr>
              <w:t xml:space="preserve">+ 100% Fringe </w:t>
            </w:r>
            <w:r>
              <w:rPr>
                <w:b/>
                <w:spacing w:val="-2"/>
                <w:sz w:val="24"/>
              </w:rPr>
              <w:t>Benefits)</w:t>
            </w:r>
          </w:p>
        </w:tc>
        <w:tc>
          <w:tcPr>
            <w:tcW w:w="1123" w:type="dxa"/>
          </w:tcPr>
          <w:p>
            <w:pPr>
              <w:pStyle w:val="TableParagraph"/>
              <w:ind w:left="245" w:right="168" w:hanging="58"/>
              <w:jc w:val="left"/>
              <w:rPr>
                <w:b/>
                <w:sz w:val="24"/>
              </w:rPr>
            </w:pPr>
            <w:r>
              <w:rPr>
                <w:b/>
                <w:spacing w:val="-6"/>
                <w:sz w:val="24"/>
              </w:rPr>
              <w:t xml:space="preserve">Burden </w:t>
            </w:r>
            <w:r>
              <w:rPr>
                <w:b/>
                <w:spacing w:val="-4"/>
                <w:sz w:val="24"/>
              </w:rPr>
              <w:t>Hours</w:t>
            </w:r>
          </w:p>
        </w:tc>
        <w:tc>
          <w:tcPr>
            <w:tcW w:w="1464" w:type="dxa"/>
          </w:tcPr>
          <w:p>
            <w:pPr>
              <w:pStyle w:val="TableParagraph"/>
              <w:ind w:left="351" w:right="338" w:hanging="3"/>
              <w:rPr>
                <w:b/>
                <w:sz w:val="24"/>
              </w:rPr>
            </w:pPr>
            <w:r>
              <w:rPr>
                <w:b/>
                <w:spacing w:val="-2"/>
                <w:sz w:val="24"/>
              </w:rPr>
              <w:t xml:space="preserve">Total </w:t>
            </w:r>
            <w:r>
              <w:rPr>
                <w:b/>
                <w:spacing w:val="-4"/>
                <w:sz w:val="24"/>
              </w:rPr>
              <w:t xml:space="preserve">Burden </w:t>
            </w:r>
            <w:r>
              <w:rPr>
                <w:b/>
                <w:spacing w:val="-2"/>
                <w:sz w:val="24"/>
              </w:rPr>
              <w:t xml:space="preserve">Costs </w:t>
            </w:r>
            <w:r>
              <w:rPr>
                <w:b/>
                <w:spacing w:val="-4"/>
                <w:sz w:val="24"/>
              </w:rPr>
              <w:t>(Per</w:t>
            </w:r>
          </w:p>
          <w:p>
            <w:pPr>
              <w:pStyle w:val="TableParagraph"/>
              <w:spacing w:before="1"/>
              <w:ind w:left="12"/>
              <w:rPr>
                <w:b/>
                <w:sz w:val="24"/>
              </w:rPr>
            </w:pPr>
            <w:r>
              <w:rPr>
                <w:b/>
                <w:spacing w:val="-2"/>
                <w:sz w:val="24"/>
              </w:rPr>
              <w:t>Respondent)</w:t>
            </w:r>
          </w:p>
        </w:tc>
        <w:tc>
          <w:tcPr>
            <w:tcW w:w="1570" w:type="dxa"/>
          </w:tcPr>
          <w:p>
            <w:pPr>
              <w:pStyle w:val="TableParagraph"/>
              <w:ind w:left="504" w:right="95" w:hanging="404"/>
              <w:jc w:val="left"/>
              <w:rPr>
                <w:b/>
                <w:sz w:val="24"/>
              </w:rPr>
            </w:pPr>
            <w:r>
              <w:rPr>
                <w:b/>
                <w:spacing w:val="-2"/>
                <w:sz w:val="24"/>
              </w:rPr>
              <w:t>Total</w:t>
            </w:r>
            <w:r>
              <w:rPr>
                <w:b/>
                <w:spacing w:val="-14"/>
                <w:sz w:val="24"/>
              </w:rPr>
              <w:t xml:space="preserve"> </w:t>
            </w:r>
            <w:r>
              <w:rPr>
                <w:b/>
                <w:spacing w:val="-2"/>
                <w:sz w:val="24"/>
              </w:rPr>
              <w:t>Burden Costs</w:t>
            </w:r>
            <w:r>
              <w:rPr>
                <w:b/>
                <w:spacing w:val="40"/>
                <w:sz w:val="24"/>
              </w:rPr>
              <w:t xml:space="preserve"> </w:t>
            </w:r>
            <w:r>
              <w:rPr>
                <w:b/>
                <w:spacing w:val="-4"/>
                <w:sz w:val="24"/>
              </w:rPr>
              <w:t>(All</w:t>
            </w:r>
          </w:p>
          <w:p>
            <w:pPr>
              <w:pStyle w:val="TableParagraph"/>
              <w:spacing w:before="1"/>
              <w:ind w:left="103"/>
              <w:jc w:val="left"/>
              <w:rPr>
                <w:b/>
                <w:sz w:val="24"/>
              </w:rPr>
            </w:pPr>
            <w:r>
              <w:rPr>
                <w:b/>
                <w:spacing w:val="-2"/>
                <w:sz w:val="24"/>
              </w:rPr>
              <w:t>Respondents)</w:t>
            </w:r>
          </w:p>
        </w:tc>
      </w:tr>
      <w:tr>
        <w:tblPrEx>
          <w:tblW w:w="0" w:type="auto"/>
          <w:jc w:val="left"/>
          <w:tblInd w:w="250" w:type="dxa"/>
          <w:tblLayout w:type="fixed"/>
          <w:tblCellMar>
            <w:top w:w="0" w:type="dxa"/>
            <w:left w:w="0" w:type="dxa"/>
            <w:bottom w:w="0" w:type="dxa"/>
            <w:right w:w="0" w:type="dxa"/>
          </w:tblCellMar>
          <w:tblLook w:val="01E0"/>
        </w:tblPrEx>
        <w:trPr>
          <w:trHeight w:val="630"/>
          <w:jc w:val="left"/>
        </w:trPr>
        <w:tc>
          <w:tcPr>
            <w:tcW w:w="2246" w:type="dxa"/>
          </w:tcPr>
          <w:p>
            <w:pPr>
              <w:pStyle w:val="TableParagraph"/>
              <w:spacing w:before="37"/>
              <w:ind w:left="71"/>
              <w:jc w:val="left"/>
              <w:rPr>
                <w:sz w:val="24"/>
              </w:rPr>
            </w:pPr>
            <w:r>
              <w:rPr>
                <w:spacing w:val="-2"/>
                <w:sz w:val="24"/>
              </w:rPr>
              <w:t>Operations</w:t>
            </w:r>
            <w:r>
              <w:rPr>
                <w:spacing w:val="-15"/>
                <w:sz w:val="24"/>
              </w:rPr>
              <w:t xml:space="preserve"> </w:t>
            </w:r>
            <w:r>
              <w:rPr>
                <w:spacing w:val="-2"/>
                <w:sz w:val="24"/>
              </w:rPr>
              <w:t>Research Analyst</w:t>
            </w:r>
          </w:p>
        </w:tc>
        <w:tc>
          <w:tcPr>
            <w:tcW w:w="1447" w:type="dxa"/>
          </w:tcPr>
          <w:p>
            <w:pPr>
              <w:pStyle w:val="TableParagraph"/>
              <w:spacing w:before="176"/>
              <w:ind w:left="13"/>
              <w:rPr>
                <w:sz w:val="24"/>
              </w:rPr>
            </w:pPr>
            <w:r>
              <w:rPr>
                <w:spacing w:val="-5"/>
                <w:sz w:val="24"/>
              </w:rPr>
              <w:t>374</w:t>
            </w:r>
          </w:p>
        </w:tc>
        <w:tc>
          <w:tcPr>
            <w:tcW w:w="1759" w:type="dxa"/>
          </w:tcPr>
          <w:p>
            <w:pPr>
              <w:pStyle w:val="TableParagraph"/>
              <w:spacing w:before="176"/>
              <w:ind w:left="554"/>
              <w:jc w:val="left"/>
              <w:rPr>
                <w:sz w:val="24"/>
              </w:rPr>
            </w:pPr>
            <w:r>
              <w:rPr>
                <w:spacing w:val="-2"/>
                <w:sz w:val="24"/>
              </w:rPr>
              <w:t>$87.78</w:t>
            </w:r>
          </w:p>
        </w:tc>
        <w:tc>
          <w:tcPr>
            <w:tcW w:w="1123" w:type="dxa"/>
          </w:tcPr>
          <w:p>
            <w:pPr>
              <w:pStyle w:val="TableParagraph"/>
              <w:spacing w:before="176"/>
              <w:ind w:left="9"/>
              <w:rPr>
                <w:sz w:val="24"/>
              </w:rPr>
            </w:pPr>
            <w:r>
              <w:rPr>
                <w:spacing w:val="-4"/>
                <w:sz w:val="24"/>
              </w:rPr>
              <w:t>54.8</w:t>
            </w:r>
          </w:p>
        </w:tc>
        <w:tc>
          <w:tcPr>
            <w:tcW w:w="1464" w:type="dxa"/>
          </w:tcPr>
          <w:p>
            <w:pPr>
              <w:pStyle w:val="TableParagraph"/>
              <w:spacing w:before="176"/>
              <w:ind w:left="259"/>
              <w:jc w:val="left"/>
              <w:rPr>
                <w:sz w:val="24"/>
              </w:rPr>
            </w:pPr>
            <w:r>
              <w:rPr>
                <w:spacing w:val="-2"/>
                <w:sz w:val="24"/>
              </w:rPr>
              <w:t>$4,810.34</w:t>
            </w:r>
          </w:p>
        </w:tc>
        <w:tc>
          <w:tcPr>
            <w:tcW w:w="1570" w:type="dxa"/>
          </w:tcPr>
          <w:p>
            <w:pPr>
              <w:pStyle w:val="TableParagraph"/>
              <w:spacing w:before="0"/>
              <w:jc w:val="left"/>
              <w:rPr>
                <w:sz w:val="24"/>
              </w:rPr>
            </w:pPr>
          </w:p>
        </w:tc>
      </w:tr>
      <w:tr>
        <w:tblPrEx>
          <w:tblW w:w="0" w:type="auto"/>
          <w:jc w:val="left"/>
          <w:tblInd w:w="250" w:type="dxa"/>
          <w:tblLayout w:type="fixed"/>
          <w:tblCellMar>
            <w:top w:w="0" w:type="dxa"/>
            <w:left w:w="0" w:type="dxa"/>
            <w:bottom w:w="0" w:type="dxa"/>
            <w:right w:w="0" w:type="dxa"/>
          </w:tblCellMar>
          <w:tblLook w:val="01E0"/>
        </w:tblPrEx>
        <w:trPr>
          <w:trHeight w:val="357"/>
          <w:jc w:val="left"/>
        </w:trPr>
        <w:tc>
          <w:tcPr>
            <w:tcW w:w="2246" w:type="dxa"/>
          </w:tcPr>
          <w:p>
            <w:pPr>
              <w:pStyle w:val="TableParagraph"/>
              <w:ind w:left="71"/>
              <w:jc w:val="left"/>
              <w:rPr>
                <w:b/>
                <w:sz w:val="24"/>
              </w:rPr>
            </w:pPr>
            <w:r>
              <w:rPr>
                <w:b/>
                <w:sz w:val="24"/>
              </w:rPr>
              <w:t>Total</w:t>
            </w:r>
            <w:r>
              <w:rPr>
                <w:b/>
                <w:spacing w:val="-1"/>
                <w:sz w:val="24"/>
              </w:rPr>
              <w:t xml:space="preserve"> </w:t>
            </w:r>
            <w:r>
              <w:rPr>
                <w:b/>
                <w:spacing w:val="-2"/>
                <w:sz w:val="24"/>
              </w:rPr>
              <w:t>Annual</w:t>
            </w:r>
          </w:p>
        </w:tc>
        <w:tc>
          <w:tcPr>
            <w:tcW w:w="1447" w:type="dxa"/>
          </w:tcPr>
          <w:p>
            <w:pPr>
              <w:pStyle w:val="TableParagraph"/>
              <w:spacing w:before="0"/>
              <w:jc w:val="left"/>
              <w:rPr>
                <w:sz w:val="24"/>
              </w:rPr>
            </w:pPr>
          </w:p>
        </w:tc>
        <w:tc>
          <w:tcPr>
            <w:tcW w:w="1759" w:type="dxa"/>
          </w:tcPr>
          <w:p>
            <w:pPr>
              <w:pStyle w:val="TableParagraph"/>
              <w:spacing w:before="0"/>
              <w:jc w:val="left"/>
              <w:rPr>
                <w:sz w:val="24"/>
              </w:rPr>
            </w:pPr>
          </w:p>
        </w:tc>
        <w:tc>
          <w:tcPr>
            <w:tcW w:w="1123" w:type="dxa"/>
          </w:tcPr>
          <w:p>
            <w:pPr>
              <w:pStyle w:val="TableParagraph"/>
              <w:ind w:left="9"/>
              <w:rPr>
                <w:b/>
                <w:sz w:val="24"/>
              </w:rPr>
            </w:pPr>
            <w:r>
              <w:rPr>
                <w:b/>
                <w:spacing w:val="-2"/>
                <w:sz w:val="24"/>
              </w:rPr>
              <w:t>20,500</w:t>
            </w:r>
          </w:p>
        </w:tc>
        <w:tc>
          <w:tcPr>
            <w:tcW w:w="1464" w:type="dxa"/>
          </w:tcPr>
          <w:p>
            <w:pPr>
              <w:pStyle w:val="TableParagraph"/>
              <w:spacing w:before="0"/>
              <w:jc w:val="left"/>
              <w:rPr>
                <w:sz w:val="24"/>
              </w:rPr>
            </w:pPr>
          </w:p>
        </w:tc>
        <w:tc>
          <w:tcPr>
            <w:tcW w:w="1570" w:type="dxa"/>
          </w:tcPr>
          <w:p>
            <w:pPr>
              <w:pStyle w:val="TableParagraph"/>
              <w:ind w:left="8"/>
              <w:rPr>
                <w:b/>
                <w:sz w:val="24"/>
              </w:rPr>
            </w:pPr>
            <w:r>
              <w:rPr>
                <w:b/>
                <w:spacing w:val="-2"/>
                <w:sz w:val="24"/>
              </w:rPr>
              <w:t>$1,799,067.16</w:t>
            </w:r>
          </w:p>
        </w:tc>
      </w:tr>
      <w:tr>
        <w:tblPrEx>
          <w:tblW w:w="0" w:type="auto"/>
          <w:jc w:val="left"/>
          <w:tblInd w:w="250" w:type="dxa"/>
          <w:tblLayout w:type="fixed"/>
          <w:tblCellMar>
            <w:top w:w="0" w:type="dxa"/>
            <w:left w:w="0" w:type="dxa"/>
            <w:bottom w:w="0" w:type="dxa"/>
            <w:right w:w="0" w:type="dxa"/>
          </w:tblCellMar>
          <w:tblLook w:val="01E0"/>
        </w:tblPrEx>
        <w:trPr>
          <w:trHeight w:val="354"/>
          <w:jc w:val="left"/>
        </w:trPr>
        <w:tc>
          <w:tcPr>
            <w:tcW w:w="2246" w:type="dxa"/>
          </w:tcPr>
          <w:p>
            <w:pPr>
              <w:pStyle w:val="TableParagraph"/>
              <w:ind w:left="71"/>
              <w:jc w:val="left"/>
              <w:rPr>
                <w:b/>
                <w:sz w:val="24"/>
              </w:rPr>
            </w:pPr>
            <w:r>
              <w:rPr>
                <w:b/>
                <w:sz w:val="24"/>
              </w:rPr>
              <w:t>Total</w:t>
            </w:r>
            <w:r>
              <w:rPr>
                <w:b/>
                <w:spacing w:val="-17"/>
                <w:sz w:val="24"/>
              </w:rPr>
              <w:t xml:space="preserve"> </w:t>
            </w:r>
            <w:r>
              <w:rPr>
                <w:b/>
                <w:sz w:val="24"/>
              </w:rPr>
              <w:t>Three</w:t>
            </w:r>
            <w:r>
              <w:rPr>
                <w:b/>
                <w:spacing w:val="-6"/>
                <w:sz w:val="24"/>
              </w:rPr>
              <w:t xml:space="preserve"> </w:t>
            </w:r>
            <w:r>
              <w:rPr>
                <w:b/>
                <w:spacing w:val="-2"/>
                <w:sz w:val="24"/>
              </w:rPr>
              <w:t>Years</w:t>
            </w:r>
          </w:p>
        </w:tc>
        <w:tc>
          <w:tcPr>
            <w:tcW w:w="1447" w:type="dxa"/>
          </w:tcPr>
          <w:p>
            <w:pPr>
              <w:pStyle w:val="TableParagraph"/>
              <w:spacing w:before="0"/>
              <w:jc w:val="left"/>
              <w:rPr>
                <w:sz w:val="24"/>
              </w:rPr>
            </w:pPr>
          </w:p>
        </w:tc>
        <w:tc>
          <w:tcPr>
            <w:tcW w:w="1759" w:type="dxa"/>
          </w:tcPr>
          <w:p>
            <w:pPr>
              <w:pStyle w:val="TableParagraph"/>
              <w:spacing w:before="0"/>
              <w:jc w:val="left"/>
              <w:rPr>
                <w:sz w:val="24"/>
              </w:rPr>
            </w:pPr>
          </w:p>
        </w:tc>
        <w:tc>
          <w:tcPr>
            <w:tcW w:w="1123" w:type="dxa"/>
          </w:tcPr>
          <w:p>
            <w:pPr>
              <w:pStyle w:val="TableParagraph"/>
              <w:ind w:left="9"/>
              <w:rPr>
                <w:b/>
                <w:sz w:val="24"/>
              </w:rPr>
            </w:pPr>
            <w:r>
              <w:rPr>
                <w:b/>
                <w:spacing w:val="-2"/>
                <w:sz w:val="24"/>
              </w:rPr>
              <w:t>61,500</w:t>
            </w:r>
          </w:p>
        </w:tc>
        <w:tc>
          <w:tcPr>
            <w:tcW w:w="1464" w:type="dxa"/>
          </w:tcPr>
          <w:p>
            <w:pPr>
              <w:pStyle w:val="TableParagraph"/>
              <w:spacing w:before="0"/>
              <w:jc w:val="left"/>
              <w:rPr>
                <w:sz w:val="24"/>
              </w:rPr>
            </w:pPr>
          </w:p>
        </w:tc>
        <w:tc>
          <w:tcPr>
            <w:tcW w:w="1570" w:type="dxa"/>
          </w:tcPr>
          <w:p>
            <w:pPr>
              <w:pStyle w:val="TableParagraph"/>
              <w:ind w:left="8"/>
              <w:rPr>
                <w:b/>
                <w:sz w:val="24"/>
              </w:rPr>
            </w:pPr>
            <w:r>
              <w:rPr>
                <w:b/>
                <w:spacing w:val="-2"/>
                <w:sz w:val="24"/>
              </w:rPr>
              <w:t>$5,397,201.48</w:t>
            </w:r>
          </w:p>
        </w:tc>
      </w:tr>
    </w:tbl>
    <w:p>
      <w:pPr>
        <w:spacing w:before="240"/>
        <w:ind w:left="240" w:right="0" w:firstLine="0"/>
        <w:jc w:val="left"/>
        <w:rPr>
          <w:b/>
          <w:sz w:val="24"/>
        </w:rPr>
      </w:pPr>
      <w:r>
        <w:rPr>
          <w:b/>
          <w:sz w:val="24"/>
        </w:rPr>
        <w:t>Table</w:t>
      </w:r>
      <w:r>
        <w:rPr>
          <w:b/>
          <w:spacing w:val="-15"/>
          <w:sz w:val="24"/>
        </w:rPr>
        <w:t xml:space="preserve"> </w:t>
      </w:r>
      <w:r>
        <w:rPr>
          <w:b/>
          <w:sz w:val="24"/>
        </w:rPr>
        <w:t>4.</w:t>
      </w:r>
      <w:r>
        <w:rPr>
          <w:b/>
          <w:spacing w:val="-14"/>
          <w:sz w:val="24"/>
        </w:rPr>
        <w:t xml:space="preserve"> </w:t>
      </w:r>
      <w:r>
        <w:rPr>
          <w:b/>
          <w:sz w:val="24"/>
        </w:rPr>
        <w:t>Summary</w:t>
      </w:r>
      <w:r>
        <w:rPr>
          <w:b/>
          <w:spacing w:val="-12"/>
          <w:sz w:val="24"/>
        </w:rPr>
        <w:t xml:space="preserve"> </w:t>
      </w:r>
      <w:r>
        <w:rPr>
          <w:b/>
          <w:sz w:val="24"/>
        </w:rPr>
        <w:t>of</w:t>
      </w:r>
      <w:r>
        <w:rPr>
          <w:b/>
          <w:spacing w:val="-12"/>
          <w:sz w:val="24"/>
        </w:rPr>
        <w:t xml:space="preserve"> </w:t>
      </w:r>
      <w:r>
        <w:rPr>
          <w:b/>
          <w:sz w:val="24"/>
        </w:rPr>
        <w:t>Annual</w:t>
      </w:r>
      <w:r>
        <w:rPr>
          <w:b/>
          <w:spacing w:val="-15"/>
          <w:sz w:val="24"/>
        </w:rPr>
        <w:t xml:space="preserve"> </w:t>
      </w:r>
      <w:r>
        <w:rPr>
          <w:b/>
          <w:sz w:val="24"/>
        </w:rPr>
        <w:t>Total</w:t>
      </w:r>
      <w:r>
        <w:rPr>
          <w:b/>
          <w:spacing w:val="-11"/>
          <w:sz w:val="24"/>
        </w:rPr>
        <w:t xml:space="preserve"> </w:t>
      </w:r>
      <w:r>
        <w:rPr>
          <w:b/>
          <w:spacing w:val="-2"/>
          <w:sz w:val="24"/>
        </w:rPr>
        <w:t>Burden</w:t>
      </w:r>
    </w:p>
    <w:p>
      <w:pPr>
        <w:pStyle w:val="BodyText"/>
        <w:spacing w:before="11"/>
        <w:ind w:left="0"/>
        <w:rPr>
          <w:b/>
          <w:sz w:val="14"/>
        </w:rPr>
      </w:pPr>
    </w:p>
    <w:tbl>
      <w:tblPr>
        <w:tblStyle w:val="TableNormal"/>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86"/>
        <w:gridCol w:w="2520"/>
        <w:gridCol w:w="1663"/>
        <w:gridCol w:w="1740"/>
      </w:tblGrid>
      <w:tr>
        <w:tblPrEx>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3686" w:type="dxa"/>
          </w:tcPr>
          <w:p>
            <w:pPr>
              <w:pStyle w:val="TableParagraph"/>
              <w:ind w:left="71"/>
              <w:jc w:val="left"/>
              <w:rPr>
                <w:b/>
                <w:sz w:val="24"/>
              </w:rPr>
            </w:pPr>
            <w:r>
              <w:rPr>
                <w:b/>
                <w:sz w:val="24"/>
              </w:rPr>
              <w:t>Table</w:t>
            </w:r>
            <w:r>
              <w:rPr>
                <w:b/>
                <w:spacing w:val="-14"/>
                <w:sz w:val="24"/>
              </w:rPr>
              <w:t xml:space="preserve"> </w:t>
            </w:r>
            <w:r>
              <w:rPr>
                <w:b/>
                <w:sz w:val="24"/>
              </w:rPr>
              <w:t>Number:</w:t>
            </w:r>
            <w:r>
              <w:rPr>
                <w:b/>
                <w:spacing w:val="-6"/>
                <w:sz w:val="24"/>
              </w:rPr>
              <w:t xml:space="preserve"> </w:t>
            </w:r>
            <w:r>
              <w:rPr>
                <w:b/>
                <w:spacing w:val="-4"/>
                <w:sz w:val="24"/>
              </w:rPr>
              <w:t>Name</w:t>
            </w:r>
          </w:p>
        </w:tc>
        <w:tc>
          <w:tcPr>
            <w:tcW w:w="2520" w:type="dxa"/>
          </w:tcPr>
          <w:p>
            <w:pPr>
              <w:pStyle w:val="TableParagraph"/>
              <w:ind w:left="19" w:right="12"/>
              <w:rPr>
                <w:b/>
                <w:sz w:val="24"/>
              </w:rPr>
            </w:pPr>
            <w:r>
              <w:rPr>
                <w:b/>
                <w:sz w:val="24"/>
              </w:rPr>
              <w:t>CFR</w:t>
            </w:r>
            <w:r>
              <w:rPr>
                <w:b/>
                <w:spacing w:val="-7"/>
                <w:sz w:val="24"/>
              </w:rPr>
              <w:t xml:space="preserve"> </w:t>
            </w:r>
            <w:r>
              <w:rPr>
                <w:b/>
                <w:spacing w:val="-2"/>
                <w:sz w:val="24"/>
              </w:rPr>
              <w:t>Section</w:t>
            </w:r>
          </w:p>
        </w:tc>
        <w:tc>
          <w:tcPr>
            <w:tcW w:w="1663" w:type="dxa"/>
          </w:tcPr>
          <w:p>
            <w:pPr>
              <w:pStyle w:val="TableParagraph"/>
              <w:ind w:left="13"/>
              <w:rPr>
                <w:b/>
                <w:sz w:val="24"/>
              </w:rPr>
            </w:pPr>
            <w:r>
              <w:rPr>
                <w:b/>
                <w:spacing w:val="-2"/>
                <w:sz w:val="24"/>
              </w:rPr>
              <w:t>Burden</w:t>
            </w:r>
            <w:r>
              <w:rPr>
                <w:b/>
                <w:spacing w:val="-6"/>
                <w:sz w:val="24"/>
              </w:rPr>
              <w:t xml:space="preserve"> </w:t>
            </w:r>
            <w:r>
              <w:rPr>
                <w:b/>
                <w:spacing w:val="-2"/>
                <w:sz w:val="24"/>
              </w:rPr>
              <w:t>Hours</w:t>
            </w:r>
          </w:p>
        </w:tc>
        <w:tc>
          <w:tcPr>
            <w:tcW w:w="1740" w:type="dxa"/>
          </w:tcPr>
          <w:p>
            <w:pPr>
              <w:pStyle w:val="TableParagraph"/>
              <w:ind w:left="11"/>
              <w:rPr>
                <w:b/>
                <w:sz w:val="24"/>
              </w:rPr>
            </w:pPr>
            <w:r>
              <w:rPr>
                <w:b/>
                <w:sz w:val="24"/>
              </w:rPr>
              <w:t>Burden</w:t>
            </w:r>
            <w:r>
              <w:rPr>
                <w:b/>
                <w:spacing w:val="-4"/>
                <w:sz w:val="24"/>
              </w:rPr>
              <w:t xml:space="preserve"> Cost</w:t>
            </w:r>
          </w:p>
        </w:tc>
      </w:tr>
      <w:tr>
        <w:tblPrEx>
          <w:tblW w:w="0" w:type="auto"/>
          <w:jc w:val="left"/>
          <w:tblInd w:w="250" w:type="dxa"/>
          <w:tblLayout w:type="fixed"/>
          <w:tblCellMar>
            <w:top w:w="0" w:type="dxa"/>
            <w:left w:w="0" w:type="dxa"/>
            <w:bottom w:w="0" w:type="dxa"/>
            <w:right w:w="0" w:type="dxa"/>
          </w:tblCellMar>
          <w:tblLook w:val="01E0"/>
        </w:tblPrEx>
        <w:trPr>
          <w:trHeight w:val="630"/>
          <w:jc w:val="left"/>
        </w:trPr>
        <w:tc>
          <w:tcPr>
            <w:tcW w:w="3686" w:type="dxa"/>
          </w:tcPr>
          <w:p>
            <w:pPr>
              <w:pStyle w:val="TableParagraph"/>
              <w:spacing w:before="37"/>
              <w:ind w:left="71"/>
              <w:jc w:val="left"/>
              <w:rPr>
                <w:sz w:val="24"/>
              </w:rPr>
            </w:pPr>
            <w:r>
              <w:rPr>
                <w:sz w:val="24"/>
              </w:rPr>
              <w:t>Table</w:t>
            </w:r>
            <w:r>
              <w:rPr>
                <w:spacing w:val="-15"/>
                <w:sz w:val="24"/>
              </w:rPr>
              <w:t xml:space="preserve"> </w:t>
            </w:r>
            <w:r>
              <w:rPr>
                <w:sz w:val="24"/>
              </w:rPr>
              <w:t>2:</w:t>
            </w:r>
            <w:r>
              <w:rPr>
                <w:spacing w:val="-15"/>
                <w:sz w:val="24"/>
              </w:rPr>
              <w:t xml:space="preserve"> </w:t>
            </w:r>
            <w:r>
              <w:rPr>
                <w:sz w:val="24"/>
              </w:rPr>
              <w:t>Burden</w:t>
            </w:r>
            <w:r>
              <w:rPr>
                <w:spacing w:val="-15"/>
                <w:sz w:val="24"/>
              </w:rPr>
              <w:t xml:space="preserve"> </w:t>
            </w:r>
            <w:r>
              <w:rPr>
                <w:sz w:val="24"/>
              </w:rPr>
              <w:t>for</w:t>
            </w:r>
            <w:r>
              <w:rPr>
                <w:spacing w:val="-15"/>
                <w:sz w:val="24"/>
              </w:rPr>
              <w:t xml:space="preserve"> </w:t>
            </w:r>
            <w:r>
              <w:rPr>
                <w:sz w:val="24"/>
              </w:rPr>
              <w:t>Issuers:</w:t>
            </w:r>
            <w:r>
              <w:rPr>
                <w:spacing w:val="-15"/>
                <w:sz w:val="24"/>
              </w:rPr>
              <w:t xml:space="preserve"> </w:t>
            </w:r>
            <w:r>
              <w:rPr>
                <w:sz w:val="24"/>
              </w:rPr>
              <w:t>Written Notice of Provider Discontinuation</w:t>
            </w:r>
          </w:p>
        </w:tc>
        <w:tc>
          <w:tcPr>
            <w:tcW w:w="2520" w:type="dxa"/>
          </w:tcPr>
          <w:p>
            <w:pPr>
              <w:pStyle w:val="TableParagraph"/>
              <w:spacing w:before="37"/>
              <w:ind w:left="19"/>
              <w:rPr>
                <w:sz w:val="24"/>
              </w:rPr>
            </w:pPr>
            <w:r>
              <w:rPr>
                <w:sz w:val="24"/>
              </w:rPr>
              <w:t>45</w:t>
            </w:r>
            <w:r>
              <w:rPr>
                <w:spacing w:val="-1"/>
                <w:sz w:val="24"/>
              </w:rPr>
              <w:t xml:space="preserve"> </w:t>
            </w:r>
            <w:r>
              <w:rPr>
                <w:sz w:val="24"/>
              </w:rPr>
              <w:t>CFR</w:t>
            </w:r>
            <w:r>
              <w:rPr>
                <w:spacing w:val="-1"/>
                <w:sz w:val="24"/>
              </w:rPr>
              <w:t xml:space="preserve"> </w:t>
            </w:r>
            <w:r>
              <w:rPr>
                <w:sz w:val="24"/>
              </w:rPr>
              <w:t>§</w:t>
            </w:r>
            <w:r>
              <w:rPr>
                <w:spacing w:val="-1"/>
                <w:sz w:val="24"/>
              </w:rPr>
              <w:t xml:space="preserve"> </w:t>
            </w:r>
            <w:r>
              <w:rPr>
                <w:sz w:val="24"/>
              </w:rPr>
              <w:t>156.230(d)</w:t>
            </w:r>
            <w:r>
              <w:rPr>
                <w:spacing w:val="-1"/>
                <w:sz w:val="24"/>
              </w:rPr>
              <w:t xml:space="preserve"> </w:t>
            </w:r>
            <w:r>
              <w:rPr>
                <w:spacing w:val="-10"/>
                <w:sz w:val="24"/>
              </w:rPr>
              <w:t>&amp;</w:t>
            </w:r>
          </w:p>
          <w:p>
            <w:pPr>
              <w:pStyle w:val="TableParagraph"/>
              <w:spacing w:before="0"/>
              <w:ind w:left="19" w:right="11"/>
              <w:rPr>
                <w:sz w:val="24"/>
              </w:rPr>
            </w:pPr>
            <w:r>
              <w:rPr>
                <w:sz w:val="24"/>
              </w:rPr>
              <w:t>45</w:t>
            </w:r>
            <w:r>
              <w:rPr>
                <w:spacing w:val="-1"/>
                <w:sz w:val="24"/>
              </w:rPr>
              <w:t xml:space="preserve"> </w:t>
            </w:r>
            <w:r>
              <w:rPr>
                <w:sz w:val="24"/>
              </w:rPr>
              <w:t>CFR</w:t>
            </w:r>
            <w:r>
              <w:rPr>
                <w:spacing w:val="-1"/>
                <w:sz w:val="24"/>
              </w:rPr>
              <w:t xml:space="preserve"> </w:t>
            </w:r>
            <w:r>
              <w:rPr>
                <w:sz w:val="24"/>
              </w:rPr>
              <w:t xml:space="preserve">§ </w:t>
            </w:r>
            <w:r>
              <w:rPr>
                <w:spacing w:val="-2"/>
                <w:sz w:val="24"/>
              </w:rPr>
              <w:t>156.230(e)</w:t>
            </w:r>
          </w:p>
        </w:tc>
        <w:tc>
          <w:tcPr>
            <w:tcW w:w="1663" w:type="dxa"/>
          </w:tcPr>
          <w:p>
            <w:pPr>
              <w:pStyle w:val="TableParagraph"/>
              <w:spacing w:before="176"/>
              <w:ind w:left="13" w:right="5"/>
              <w:rPr>
                <w:sz w:val="24"/>
              </w:rPr>
            </w:pPr>
            <w:r>
              <w:rPr>
                <w:spacing w:val="-2"/>
                <w:sz w:val="24"/>
              </w:rPr>
              <w:t>551,276</w:t>
            </w:r>
          </w:p>
        </w:tc>
        <w:tc>
          <w:tcPr>
            <w:tcW w:w="1740" w:type="dxa"/>
          </w:tcPr>
          <w:p>
            <w:pPr>
              <w:pStyle w:val="TableParagraph"/>
              <w:spacing w:before="176"/>
              <w:ind w:left="11" w:right="3"/>
              <w:rPr>
                <w:sz w:val="24"/>
              </w:rPr>
            </w:pPr>
            <w:r>
              <w:rPr>
                <w:spacing w:val="-2"/>
                <w:sz w:val="24"/>
              </w:rPr>
              <w:t>$40,000,586.56</w:t>
            </w:r>
          </w:p>
        </w:tc>
      </w:tr>
      <w:tr>
        <w:tblPrEx>
          <w:tblW w:w="0" w:type="auto"/>
          <w:jc w:val="left"/>
          <w:tblInd w:w="250" w:type="dxa"/>
          <w:tblLayout w:type="fixed"/>
          <w:tblCellMar>
            <w:top w:w="0" w:type="dxa"/>
            <w:left w:w="0" w:type="dxa"/>
            <w:bottom w:w="0" w:type="dxa"/>
            <w:right w:w="0" w:type="dxa"/>
          </w:tblCellMar>
          <w:tblLook w:val="01E0"/>
        </w:tblPrEx>
        <w:trPr>
          <w:trHeight w:val="906"/>
          <w:jc w:val="left"/>
        </w:trPr>
        <w:tc>
          <w:tcPr>
            <w:tcW w:w="3686" w:type="dxa"/>
          </w:tcPr>
          <w:p>
            <w:pPr>
              <w:pStyle w:val="TableParagraph"/>
              <w:ind w:left="71"/>
              <w:jc w:val="left"/>
              <w:rPr>
                <w:sz w:val="24"/>
              </w:rPr>
            </w:pPr>
            <w:r>
              <w:rPr>
                <w:sz w:val="24"/>
              </w:rPr>
              <w:t>Table</w:t>
            </w:r>
            <w:r>
              <w:rPr>
                <w:spacing w:val="-15"/>
                <w:sz w:val="24"/>
              </w:rPr>
              <w:t xml:space="preserve"> </w:t>
            </w:r>
            <w:r>
              <w:rPr>
                <w:sz w:val="24"/>
              </w:rPr>
              <w:t>3:</w:t>
            </w:r>
            <w:r>
              <w:rPr>
                <w:spacing w:val="-15"/>
                <w:sz w:val="24"/>
              </w:rPr>
              <w:t xml:space="preserve"> </w:t>
            </w:r>
            <w:r>
              <w:rPr>
                <w:sz w:val="24"/>
              </w:rPr>
              <w:t>Burden</w:t>
            </w:r>
            <w:r>
              <w:rPr>
                <w:spacing w:val="-15"/>
                <w:sz w:val="24"/>
              </w:rPr>
              <w:t xml:space="preserve"> </w:t>
            </w:r>
            <w:r>
              <w:rPr>
                <w:sz w:val="24"/>
              </w:rPr>
              <w:t>for</w:t>
            </w:r>
            <w:r>
              <w:rPr>
                <w:spacing w:val="-15"/>
                <w:sz w:val="24"/>
              </w:rPr>
              <w:t xml:space="preserve"> </w:t>
            </w:r>
            <w:r>
              <w:rPr>
                <w:sz w:val="24"/>
              </w:rPr>
              <w:t>Issuers:</w:t>
            </w:r>
            <w:r>
              <w:rPr>
                <w:spacing w:val="-15"/>
                <w:sz w:val="24"/>
              </w:rPr>
              <w:t xml:space="preserve"> </w:t>
            </w:r>
            <w:r>
              <w:rPr>
                <w:sz w:val="24"/>
              </w:rPr>
              <w:t>Written Notice of the Possibility of Out-of-Network Charges</w:t>
            </w:r>
          </w:p>
        </w:tc>
        <w:tc>
          <w:tcPr>
            <w:tcW w:w="2520" w:type="dxa"/>
          </w:tcPr>
          <w:p>
            <w:pPr>
              <w:pStyle w:val="TableParagraph"/>
              <w:jc w:val="left"/>
              <w:rPr>
                <w:b/>
                <w:sz w:val="24"/>
              </w:rPr>
            </w:pPr>
          </w:p>
          <w:p>
            <w:pPr>
              <w:pStyle w:val="TableParagraph"/>
              <w:spacing w:before="0"/>
              <w:ind w:left="19" w:right="11"/>
              <w:rPr>
                <w:sz w:val="24"/>
              </w:rPr>
            </w:pPr>
            <w:r>
              <w:rPr>
                <w:sz w:val="24"/>
              </w:rPr>
              <w:t>45</w:t>
            </w:r>
            <w:r>
              <w:rPr>
                <w:spacing w:val="-1"/>
                <w:sz w:val="24"/>
              </w:rPr>
              <w:t xml:space="preserve"> </w:t>
            </w:r>
            <w:r>
              <w:rPr>
                <w:sz w:val="24"/>
              </w:rPr>
              <w:t>CFR</w:t>
            </w:r>
            <w:r>
              <w:rPr>
                <w:spacing w:val="-1"/>
                <w:sz w:val="24"/>
              </w:rPr>
              <w:t xml:space="preserve"> </w:t>
            </w:r>
            <w:r>
              <w:rPr>
                <w:sz w:val="24"/>
              </w:rPr>
              <w:t xml:space="preserve">§ </w:t>
            </w:r>
            <w:r>
              <w:rPr>
                <w:spacing w:val="-2"/>
                <w:sz w:val="24"/>
              </w:rPr>
              <w:t>156.230(e)</w:t>
            </w:r>
          </w:p>
        </w:tc>
        <w:tc>
          <w:tcPr>
            <w:tcW w:w="1663" w:type="dxa"/>
          </w:tcPr>
          <w:p>
            <w:pPr>
              <w:pStyle w:val="TableParagraph"/>
              <w:jc w:val="left"/>
              <w:rPr>
                <w:b/>
                <w:sz w:val="24"/>
              </w:rPr>
            </w:pPr>
          </w:p>
          <w:p>
            <w:pPr>
              <w:pStyle w:val="TableParagraph"/>
              <w:spacing w:before="0"/>
              <w:ind w:left="13" w:right="3"/>
              <w:rPr>
                <w:sz w:val="24"/>
              </w:rPr>
            </w:pPr>
            <w:r>
              <w:rPr>
                <w:spacing w:val="-2"/>
                <w:sz w:val="24"/>
              </w:rPr>
              <w:t>20,500</w:t>
            </w:r>
          </w:p>
        </w:tc>
        <w:tc>
          <w:tcPr>
            <w:tcW w:w="1740" w:type="dxa"/>
          </w:tcPr>
          <w:p>
            <w:pPr>
              <w:pStyle w:val="TableParagraph"/>
              <w:jc w:val="left"/>
              <w:rPr>
                <w:b/>
                <w:sz w:val="24"/>
              </w:rPr>
            </w:pPr>
          </w:p>
          <w:p>
            <w:pPr>
              <w:pStyle w:val="TableParagraph"/>
              <w:spacing w:before="0"/>
              <w:ind w:left="11" w:right="5"/>
              <w:rPr>
                <w:sz w:val="24"/>
              </w:rPr>
            </w:pPr>
            <w:r>
              <w:rPr>
                <w:spacing w:val="-2"/>
                <w:sz w:val="24"/>
              </w:rPr>
              <w:t>$1,799,067.16</w:t>
            </w:r>
          </w:p>
        </w:tc>
      </w:tr>
      <w:tr>
        <w:tblPrEx>
          <w:tblW w:w="0" w:type="auto"/>
          <w:jc w:val="left"/>
          <w:tblInd w:w="250" w:type="dxa"/>
          <w:tblLayout w:type="fixed"/>
          <w:tblCellMar>
            <w:top w:w="0" w:type="dxa"/>
            <w:left w:w="0" w:type="dxa"/>
            <w:bottom w:w="0" w:type="dxa"/>
            <w:right w:w="0" w:type="dxa"/>
          </w:tblCellMar>
          <w:tblLook w:val="01E0"/>
        </w:tblPrEx>
        <w:trPr>
          <w:trHeight w:val="357"/>
          <w:jc w:val="left"/>
        </w:trPr>
        <w:tc>
          <w:tcPr>
            <w:tcW w:w="3686" w:type="dxa"/>
          </w:tcPr>
          <w:p>
            <w:pPr>
              <w:pStyle w:val="TableParagraph"/>
              <w:spacing w:before="42"/>
              <w:ind w:left="71"/>
              <w:jc w:val="left"/>
              <w:rPr>
                <w:b/>
                <w:sz w:val="24"/>
              </w:rPr>
            </w:pPr>
            <w:r>
              <w:rPr>
                <w:b/>
                <w:sz w:val="24"/>
              </w:rPr>
              <w:t>Total</w:t>
            </w:r>
            <w:r>
              <w:rPr>
                <w:b/>
                <w:spacing w:val="-1"/>
                <w:sz w:val="24"/>
              </w:rPr>
              <w:t xml:space="preserve"> </w:t>
            </w:r>
            <w:r>
              <w:rPr>
                <w:b/>
                <w:sz w:val="24"/>
              </w:rPr>
              <w:t>-</w:t>
            </w:r>
            <w:r>
              <w:rPr>
                <w:b/>
                <w:spacing w:val="-1"/>
                <w:sz w:val="24"/>
              </w:rPr>
              <w:t xml:space="preserve"> </w:t>
            </w:r>
            <w:r>
              <w:rPr>
                <w:b/>
                <w:spacing w:val="-2"/>
                <w:sz w:val="24"/>
              </w:rPr>
              <w:t>Annual</w:t>
            </w:r>
          </w:p>
        </w:tc>
        <w:tc>
          <w:tcPr>
            <w:tcW w:w="2520" w:type="dxa"/>
          </w:tcPr>
          <w:p>
            <w:pPr>
              <w:pStyle w:val="TableParagraph"/>
              <w:spacing w:before="0"/>
              <w:jc w:val="left"/>
              <w:rPr>
                <w:sz w:val="24"/>
              </w:rPr>
            </w:pPr>
          </w:p>
        </w:tc>
        <w:tc>
          <w:tcPr>
            <w:tcW w:w="1663" w:type="dxa"/>
          </w:tcPr>
          <w:p>
            <w:pPr>
              <w:pStyle w:val="TableParagraph"/>
              <w:spacing w:before="42"/>
              <w:ind w:left="13" w:right="5"/>
              <w:rPr>
                <w:b/>
                <w:sz w:val="24"/>
              </w:rPr>
            </w:pPr>
            <w:r>
              <w:rPr>
                <w:b/>
                <w:spacing w:val="-2"/>
                <w:sz w:val="24"/>
              </w:rPr>
              <w:t>571,776</w:t>
            </w:r>
          </w:p>
        </w:tc>
        <w:tc>
          <w:tcPr>
            <w:tcW w:w="1740" w:type="dxa"/>
          </w:tcPr>
          <w:p>
            <w:pPr>
              <w:pStyle w:val="TableParagraph"/>
              <w:spacing w:before="42"/>
              <w:ind w:left="11" w:right="3"/>
              <w:rPr>
                <w:b/>
                <w:sz w:val="24"/>
              </w:rPr>
            </w:pPr>
            <w:r>
              <w:rPr>
                <w:b/>
                <w:spacing w:val="-2"/>
                <w:sz w:val="24"/>
              </w:rPr>
              <w:t>$41,799,653.72</w:t>
            </w:r>
          </w:p>
        </w:tc>
      </w:tr>
    </w:tbl>
    <w:p>
      <w:pPr>
        <w:pStyle w:val="ListParagraph"/>
        <w:numPr>
          <w:ilvl w:val="1"/>
          <w:numId w:val="1"/>
        </w:numPr>
        <w:tabs>
          <w:tab w:val="left" w:pos="787"/>
        </w:tabs>
        <w:spacing w:before="219" w:after="0" w:line="240" w:lineRule="auto"/>
        <w:ind w:left="787" w:right="0" w:hanging="547"/>
        <w:jc w:val="left"/>
        <w:rPr>
          <w:i/>
          <w:sz w:val="24"/>
        </w:rPr>
      </w:pPr>
      <w:bookmarkStart w:id="16" w:name="13. Capital Costs "/>
      <w:bookmarkEnd w:id="16"/>
      <w:r>
        <w:rPr>
          <w:i/>
          <w:sz w:val="24"/>
        </w:rPr>
        <w:t>Capital</w:t>
      </w:r>
      <w:r>
        <w:rPr>
          <w:i/>
          <w:spacing w:val="-7"/>
          <w:sz w:val="24"/>
        </w:rPr>
        <w:t xml:space="preserve"> </w:t>
      </w:r>
      <w:r>
        <w:rPr>
          <w:i/>
          <w:spacing w:val="-2"/>
          <w:sz w:val="24"/>
        </w:rPr>
        <w:t>Costs</w:t>
      </w:r>
    </w:p>
    <w:p>
      <w:pPr>
        <w:pStyle w:val="BodyText"/>
        <w:ind w:left="240"/>
      </w:pPr>
      <w:r>
        <w:t>There</w:t>
      </w:r>
      <w:r>
        <w:rPr>
          <w:spacing w:val="-15"/>
        </w:rPr>
        <w:t xml:space="preserve"> </w:t>
      </w:r>
      <w:r>
        <w:t>are</w:t>
      </w:r>
      <w:r>
        <w:rPr>
          <w:spacing w:val="-11"/>
        </w:rPr>
        <w:t xml:space="preserve"> </w:t>
      </w:r>
      <w:r>
        <w:t>no</w:t>
      </w:r>
      <w:r>
        <w:rPr>
          <w:spacing w:val="-6"/>
        </w:rPr>
        <w:t xml:space="preserve"> </w:t>
      </w:r>
      <w:r>
        <w:t>anticipated</w:t>
      </w:r>
      <w:r>
        <w:rPr>
          <w:spacing w:val="-7"/>
        </w:rPr>
        <w:t xml:space="preserve"> </w:t>
      </w:r>
      <w:r>
        <w:t>capital</w:t>
      </w:r>
      <w:r>
        <w:rPr>
          <w:spacing w:val="-8"/>
        </w:rPr>
        <w:t xml:space="preserve"> </w:t>
      </w:r>
      <w:r>
        <w:t>costs</w:t>
      </w:r>
      <w:r>
        <w:rPr>
          <w:spacing w:val="-7"/>
        </w:rPr>
        <w:t xml:space="preserve"> </w:t>
      </w:r>
      <w:r>
        <w:t>associated</w:t>
      </w:r>
      <w:r>
        <w:rPr>
          <w:spacing w:val="-7"/>
        </w:rPr>
        <w:t xml:space="preserve"> </w:t>
      </w:r>
      <w:r>
        <w:t>with</w:t>
      </w:r>
      <w:r>
        <w:rPr>
          <w:spacing w:val="-9"/>
        </w:rPr>
        <w:t xml:space="preserve"> </w:t>
      </w:r>
      <w:r>
        <w:t>these</w:t>
      </w:r>
      <w:r>
        <w:rPr>
          <w:spacing w:val="-11"/>
        </w:rPr>
        <w:t xml:space="preserve"> </w:t>
      </w:r>
      <w:r>
        <w:t>information</w:t>
      </w:r>
      <w:r>
        <w:rPr>
          <w:spacing w:val="-9"/>
        </w:rPr>
        <w:t xml:space="preserve"> </w:t>
      </w:r>
      <w:r>
        <w:rPr>
          <w:spacing w:val="-2"/>
        </w:rPr>
        <w:t>collections.</w:t>
      </w:r>
    </w:p>
    <w:p>
      <w:pPr>
        <w:pStyle w:val="ListParagraph"/>
        <w:numPr>
          <w:ilvl w:val="1"/>
          <w:numId w:val="1"/>
        </w:numPr>
        <w:tabs>
          <w:tab w:val="left" w:pos="787"/>
        </w:tabs>
        <w:spacing w:before="240" w:after="0" w:line="240" w:lineRule="auto"/>
        <w:ind w:left="787" w:right="0" w:hanging="548"/>
        <w:jc w:val="left"/>
        <w:rPr>
          <w:i/>
          <w:sz w:val="24"/>
        </w:rPr>
      </w:pPr>
      <w:bookmarkStart w:id="17" w:name="14. Cost to Federal Government "/>
      <w:bookmarkEnd w:id="17"/>
      <w:r>
        <w:rPr>
          <w:i/>
          <w:sz w:val="24"/>
        </w:rPr>
        <w:t>Cost</w:t>
      </w:r>
      <w:r>
        <w:rPr>
          <w:i/>
          <w:spacing w:val="-2"/>
          <w:sz w:val="24"/>
        </w:rPr>
        <w:t xml:space="preserve"> </w:t>
      </w:r>
      <w:r>
        <w:rPr>
          <w:i/>
          <w:sz w:val="24"/>
        </w:rPr>
        <w:t>to</w:t>
      </w:r>
      <w:r>
        <w:rPr>
          <w:i/>
          <w:spacing w:val="-1"/>
          <w:sz w:val="24"/>
        </w:rPr>
        <w:t xml:space="preserve"> </w:t>
      </w:r>
      <w:r>
        <w:rPr>
          <w:i/>
          <w:sz w:val="24"/>
        </w:rPr>
        <w:t>Federal</w:t>
      </w:r>
      <w:r>
        <w:rPr>
          <w:i/>
          <w:spacing w:val="-1"/>
          <w:sz w:val="24"/>
        </w:rPr>
        <w:t xml:space="preserve"> </w:t>
      </w:r>
      <w:r>
        <w:rPr>
          <w:i/>
          <w:spacing w:val="-2"/>
          <w:sz w:val="24"/>
        </w:rPr>
        <w:t>Government</w:t>
      </w:r>
    </w:p>
    <w:p>
      <w:pPr>
        <w:pStyle w:val="BodyText"/>
        <w:spacing w:before="171"/>
        <w:ind w:right="241"/>
      </w:pPr>
      <w:r>
        <w:t>We estimate the operations and maintenance costs for the data collection tool and the data</w:t>
      </w:r>
      <w:r>
        <w:rPr>
          <w:spacing w:val="40"/>
        </w:rPr>
        <w:t xml:space="preserve"> </w:t>
      </w:r>
      <w:r>
        <w:t>collection</w:t>
      </w:r>
      <w:r>
        <w:rPr>
          <w:spacing w:val="-5"/>
        </w:rPr>
        <w:t xml:space="preserve"> </w:t>
      </w:r>
      <w:r>
        <w:t>support</w:t>
      </w:r>
      <w:r>
        <w:rPr>
          <w:spacing w:val="-4"/>
        </w:rPr>
        <w:t xml:space="preserve"> </w:t>
      </w:r>
      <w:r>
        <w:t>to</w:t>
      </w:r>
      <w:r>
        <w:rPr>
          <w:spacing w:val="-5"/>
        </w:rPr>
        <w:t xml:space="preserve"> </w:t>
      </w:r>
      <w:r>
        <w:t>have</w:t>
      </w:r>
      <w:r>
        <w:rPr>
          <w:spacing w:val="-8"/>
        </w:rPr>
        <w:t xml:space="preserve"> </w:t>
      </w:r>
      <w:r>
        <w:t>a</w:t>
      </w:r>
      <w:r>
        <w:rPr>
          <w:spacing w:val="-8"/>
        </w:rPr>
        <w:t xml:space="preserve"> </w:t>
      </w:r>
      <w:r>
        <w:t>total</w:t>
      </w:r>
      <w:r>
        <w:rPr>
          <w:spacing w:val="-4"/>
        </w:rPr>
        <w:t xml:space="preserve"> </w:t>
      </w:r>
      <w:r>
        <w:t>cost</w:t>
      </w:r>
      <w:r>
        <w:rPr>
          <w:spacing w:val="-4"/>
        </w:rPr>
        <w:t xml:space="preserve"> </w:t>
      </w:r>
      <w:r>
        <w:t>of</w:t>
      </w:r>
      <w:r>
        <w:rPr>
          <w:spacing w:val="-8"/>
        </w:rPr>
        <w:t xml:space="preserve"> </w:t>
      </w:r>
      <w:r>
        <w:t>$130,490.88</w:t>
      </w:r>
      <w:r>
        <w:rPr>
          <w:spacing w:val="-5"/>
        </w:rPr>
        <w:t xml:space="preserve"> </w:t>
      </w:r>
      <w:r>
        <w:t>per</w:t>
      </w:r>
      <w:r>
        <w:rPr>
          <w:spacing w:val="-3"/>
        </w:rPr>
        <w:t xml:space="preserve"> </w:t>
      </w:r>
      <w:r>
        <w:t>year.</w:t>
      </w:r>
      <w:r>
        <w:rPr>
          <w:spacing w:val="-5"/>
        </w:rPr>
        <w:t xml:space="preserve"> </w:t>
      </w:r>
      <w:r>
        <w:t>The</w:t>
      </w:r>
      <w:r>
        <w:rPr>
          <w:spacing w:val="-6"/>
        </w:rPr>
        <w:t xml:space="preserve"> </w:t>
      </w:r>
      <w:r>
        <w:t>adjusted</w:t>
      </w:r>
      <w:r>
        <w:rPr>
          <w:spacing w:val="-5"/>
        </w:rPr>
        <w:t xml:space="preserve"> </w:t>
      </w:r>
      <w:r>
        <w:t>hourly</w:t>
      </w:r>
      <w:r>
        <w:rPr>
          <w:spacing w:val="-10"/>
        </w:rPr>
        <w:t xml:space="preserve"> </w:t>
      </w:r>
      <w:r>
        <w:t>wage</w:t>
      </w:r>
      <w:r>
        <w:rPr>
          <w:spacing w:val="-8"/>
        </w:rPr>
        <w:t xml:space="preserve"> </w:t>
      </w:r>
      <w:r>
        <w:t>of</w:t>
      </w:r>
      <w:r>
        <w:rPr>
          <w:spacing w:val="-3"/>
        </w:rPr>
        <w:t xml:space="preserve"> </w:t>
      </w:r>
      <w:r>
        <w:t>$104.56 is the total of the hourly rate of $52.28 for GS-13 step-7 plus 100% fringe benefit rate of</w:t>
      </w:r>
      <w:r>
        <w:rPr>
          <w:spacing w:val="-5"/>
        </w:rPr>
        <w:t xml:space="preserve"> </w:t>
      </w:r>
      <w:r>
        <w:t>$52.28.</w:t>
      </w:r>
    </w:p>
    <w:p>
      <w:pPr>
        <w:pStyle w:val="BodyText"/>
        <w:spacing w:before="0"/>
        <w:ind w:left="240" w:right="1126"/>
      </w:pPr>
      <w:r>
        <w:t>The</w:t>
      </w:r>
      <w:r>
        <w:rPr>
          <w:spacing w:val="-9"/>
        </w:rPr>
        <w:t xml:space="preserve"> </w:t>
      </w:r>
      <w:r>
        <w:t>calculations</w:t>
      </w:r>
      <w:r>
        <w:rPr>
          <w:spacing w:val="-6"/>
        </w:rPr>
        <w:t xml:space="preserve"> </w:t>
      </w:r>
      <w:r>
        <w:t>for</w:t>
      </w:r>
      <w:r>
        <w:rPr>
          <w:spacing w:val="-9"/>
        </w:rPr>
        <w:t xml:space="preserve"> </w:t>
      </w:r>
      <w:r>
        <w:t>CCIIO</w:t>
      </w:r>
      <w:r>
        <w:rPr>
          <w:spacing w:val="-9"/>
        </w:rPr>
        <w:t xml:space="preserve"> </w:t>
      </w:r>
      <w:r>
        <w:t>employees’</w:t>
      </w:r>
      <w:r>
        <w:rPr>
          <w:spacing w:val="-9"/>
        </w:rPr>
        <w:t xml:space="preserve"> </w:t>
      </w:r>
      <w:r>
        <w:t>hourly</w:t>
      </w:r>
      <w:r>
        <w:rPr>
          <w:spacing w:val="-11"/>
        </w:rPr>
        <w:t xml:space="preserve"> </w:t>
      </w:r>
      <w:r>
        <w:t>salary</w:t>
      </w:r>
      <w:r>
        <w:rPr>
          <w:spacing w:val="-11"/>
        </w:rPr>
        <w:t xml:space="preserve"> </w:t>
      </w:r>
      <w:r>
        <w:t>was</w:t>
      </w:r>
      <w:r>
        <w:rPr>
          <w:spacing w:val="-6"/>
        </w:rPr>
        <w:t xml:space="preserve"> </w:t>
      </w:r>
      <w:r>
        <w:t>obtained</w:t>
      </w:r>
      <w:r>
        <w:rPr>
          <w:spacing w:val="-6"/>
        </w:rPr>
        <w:t xml:space="preserve"> </w:t>
      </w:r>
      <w:r>
        <w:t>from</w:t>
      </w:r>
      <w:r>
        <w:rPr>
          <w:spacing w:val="-5"/>
        </w:rPr>
        <w:t xml:space="preserve"> </w:t>
      </w:r>
      <w:r>
        <w:t>the</w:t>
      </w:r>
      <w:r>
        <w:rPr>
          <w:spacing w:val="-7"/>
        </w:rPr>
        <w:t xml:space="preserve"> </w:t>
      </w:r>
      <w:r>
        <w:t>OPM</w:t>
      </w:r>
      <w:r>
        <w:rPr>
          <w:spacing w:val="-3"/>
        </w:rPr>
        <w:t xml:space="preserve"> </w:t>
      </w:r>
      <w:r>
        <w:t xml:space="preserve">website: </w:t>
      </w:r>
      <w:hyperlink r:id="rId7">
        <w:r>
          <w:rPr>
            <w:color w:val="0000FF"/>
            <w:spacing w:val="-2"/>
            <w:u w:val="single" w:color="0000FF"/>
          </w:rPr>
          <w:t>https://www.opm.gov/policy-data-oversight/pay-leave/salaries-wages/salary-</w:t>
        </w:r>
      </w:hyperlink>
      <w:hyperlink r:id="rId7">
        <w:r>
          <w:rPr>
            <w:color w:val="0000FF"/>
            <w:spacing w:val="-2"/>
            <w:u w:val="single" w:color="0000FF"/>
          </w:rPr>
          <w:t>tables/26Tables/html/GS_h.aspx</w:t>
        </w:r>
        <w:r>
          <w:rPr>
            <w:spacing w:val="-2"/>
            <w:u w:val="none"/>
          </w:rPr>
          <w:t>.</w:t>
        </w:r>
      </w:hyperlink>
    </w:p>
    <w:p>
      <w:pPr>
        <w:pStyle w:val="BodyText"/>
        <w:spacing w:after="0"/>
        <w:sectPr>
          <w:pgSz w:w="12240" w:h="15840"/>
          <w:pgMar w:top="1560" w:right="1080" w:bottom="1380" w:left="1080" w:header="0" w:footer="1183"/>
          <w:cols w:space="720"/>
        </w:sectPr>
      </w:pPr>
    </w:p>
    <w:p>
      <w:pPr>
        <w:pStyle w:val="Heading2"/>
        <w:spacing w:before="78"/>
        <w:ind w:right="863"/>
      </w:pPr>
      <w:r>
        <w:rPr>
          <w:spacing w:val="-2"/>
        </w:rPr>
        <w:t>Table</w:t>
      </w:r>
      <w:r>
        <w:rPr>
          <w:spacing w:val="-10"/>
        </w:rPr>
        <w:t xml:space="preserve"> </w:t>
      </w:r>
      <w:r>
        <w:rPr>
          <w:spacing w:val="-2"/>
        </w:rPr>
        <w:t>5.</w:t>
      </w:r>
      <w:r>
        <w:rPr>
          <w:spacing w:val="-6"/>
        </w:rPr>
        <w:t xml:space="preserve"> </w:t>
      </w:r>
      <w:r>
        <w:rPr>
          <w:spacing w:val="-2"/>
        </w:rPr>
        <w:t>Administrative</w:t>
      </w:r>
      <w:r>
        <w:rPr>
          <w:spacing w:val="-5"/>
        </w:rPr>
        <w:t xml:space="preserve"> </w:t>
      </w:r>
      <w:r>
        <w:rPr>
          <w:spacing w:val="-2"/>
        </w:rPr>
        <w:t>Burden</w:t>
      </w:r>
      <w:r>
        <w:rPr>
          <w:spacing w:val="-5"/>
        </w:rPr>
        <w:t xml:space="preserve"> </w:t>
      </w:r>
      <w:r>
        <w:rPr>
          <w:spacing w:val="-2"/>
        </w:rPr>
        <w:t>Costs</w:t>
      </w:r>
      <w:r>
        <w:rPr>
          <w:spacing w:val="-6"/>
        </w:rPr>
        <w:t xml:space="preserve"> </w:t>
      </w:r>
      <w:r>
        <w:rPr>
          <w:spacing w:val="-2"/>
        </w:rPr>
        <w:t>for</w:t>
      </w:r>
      <w:r>
        <w:rPr>
          <w:spacing w:val="-10"/>
        </w:rPr>
        <w:t xml:space="preserve"> </w:t>
      </w:r>
      <w:r>
        <w:rPr>
          <w:spacing w:val="-2"/>
        </w:rPr>
        <w:t>the</w:t>
      </w:r>
      <w:r>
        <w:rPr>
          <w:spacing w:val="-10"/>
        </w:rPr>
        <w:t xml:space="preserve"> </w:t>
      </w:r>
      <w:r>
        <w:rPr>
          <w:spacing w:val="-2"/>
        </w:rPr>
        <w:t>Federal</w:t>
      </w:r>
      <w:r>
        <w:rPr>
          <w:spacing w:val="-6"/>
        </w:rPr>
        <w:t xml:space="preserve"> </w:t>
      </w:r>
      <w:r>
        <w:rPr>
          <w:spacing w:val="-2"/>
        </w:rPr>
        <w:t>Government</w:t>
      </w:r>
      <w:r>
        <w:rPr>
          <w:spacing w:val="-5"/>
        </w:rPr>
        <w:t xml:space="preserve"> </w:t>
      </w:r>
      <w:r>
        <w:rPr>
          <w:spacing w:val="-2"/>
        </w:rPr>
        <w:t>Associated</w:t>
      </w:r>
      <w:r>
        <w:rPr>
          <w:spacing w:val="-5"/>
        </w:rPr>
        <w:t xml:space="preserve"> </w:t>
      </w:r>
      <w:r>
        <w:rPr>
          <w:spacing w:val="-2"/>
        </w:rPr>
        <w:t>with</w:t>
      </w:r>
      <w:r>
        <w:rPr>
          <w:spacing w:val="-5"/>
        </w:rPr>
        <w:t xml:space="preserve"> </w:t>
      </w:r>
      <w:r>
        <w:rPr>
          <w:spacing w:val="-2"/>
        </w:rPr>
        <w:t xml:space="preserve">the </w:t>
      </w:r>
      <w:r>
        <w:t>Provider Network Coverage Data Collection</w:t>
      </w:r>
    </w:p>
    <w:p>
      <w:pPr>
        <w:pStyle w:val="BodyText"/>
        <w:spacing w:before="10"/>
        <w:ind w:left="0"/>
        <w:rPr>
          <w:b/>
          <w:sz w:val="14"/>
        </w:rPr>
      </w:pPr>
    </w:p>
    <w:tbl>
      <w:tblPr>
        <w:tblStyle w:val="TableNormal"/>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935"/>
        <w:gridCol w:w="3674"/>
      </w:tblGrid>
      <w:tr>
        <w:tblPrEx>
          <w:tblW w:w="0" w:type="auto"/>
          <w:jc w:val="lef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7"/>
          <w:jc w:val="left"/>
        </w:trPr>
        <w:tc>
          <w:tcPr>
            <w:tcW w:w="5935" w:type="dxa"/>
          </w:tcPr>
          <w:p>
            <w:pPr>
              <w:pStyle w:val="TableParagraph"/>
              <w:ind w:left="83"/>
              <w:jc w:val="left"/>
              <w:rPr>
                <w:b/>
                <w:sz w:val="24"/>
              </w:rPr>
            </w:pPr>
            <w:r>
              <w:rPr>
                <w:b/>
                <w:spacing w:val="-4"/>
                <w:sz w:val="24"/>
              </w:rPr>
              <w:t>Task</w:t>
            </w:r>
          </w:p>
        </w:tc>
        <w:tc>
          <w:tcPr>
            <w:tcW w:w="3674" w:type="dxa"/>
          </w:tcPr>
          <w:p>
            <w:pPr>
              <w:pStyle w:val="TableParagraph"/>
              <w:ind w:left="119"/>
              <w:rPr>
                <w:b/>
                <w:sz w:val="24"/>
              </w:rPr>
            </w:pPr>
            <w:r>
              <w:rPr>
                <w:b/>
                <w:sz w:val="24"/>
              </w:rPr>
              <w:t>Estimated</w:t>
            </w:r>
            <w:r>
              <w:rPr>
                <w:b/>
                <w:spacing w:val="-11"/>
                <w:sz w:val="24"/>
              </w:rPr>
              <w:t xml:space="preserve"> </w:t>
            </w:r>
            <w:r>
              <w:rPr>
                <w:b/>
                <w:spacing w:val="-4"/>
                <w:sz w:val="24"/>
              </w:rPr>
              <w:t>Cost</w:t>
            </w:r>
          </w:p>
        </w:tc>
      </w:tr>
      <w:tr>
        <w:tblPrEx>
          <w:tblW w:w="0" w:type="auto"/>
          <w:jc w:val="left"/>
          <w:tblInd w:w="250" w:type="dxa"/>
          <w:tblLayout w:type="fixed"/>
          <w:tblCellMar>
            <w:top w:w="0" w:type="dxa"/>
            <w:left w:w="0" w:type="dxa"/>
            <w:bottom w:w="0" w:type="dxa"/>
            <w:right w:w="0" w:type="dxa"/>
          </w:tblCellMar>
          <w:tblLook w:val="01E0"/>
        </w:tblPrEx>
        <w:trPr>
          <w:trHeight w:val="354"/>
          <w:jc w:val="left"/>
        </w:trPr>
        <w:tc>
          <w:tcPr>
            <w:tcW w:w="5935" w:type="dxa"/>
          </w:tcPr>
          <w:p>
            <w:pPr>
              <w:pStyle w:val="TableParagraph"/>
              <w:ind w:left="83"/>
              <w:jc w:val="left"/>
              <w:rPr>
                <w:sz w:val="24"/>
              </w:rPr>
            </w:pPr>
            <w:r>
              <w:rPr>
                <w:sz w:val="24"/>
              </w:rPr>
              <w:t>Operations,</w:t>
            </w:r>
            <w:r>
              <w:rPr>
                <w:spacing w:val="-8"/>
                <w:sz w:val="24"/>
              </w:rPr>
              <w:t xml:space="preserve"> </w:t>
            </w:r>
            <w:r>
              <w:rPr>
                <w:sz w:val="24"/>
              </w:rPr>
              <w:t>maintenance, and</w:t>
            </w:r>
            <w:r>
              <w:rPr>
                <w:spacing w:val="-6"/>
                <w:sz w:val="24"/>
              </w:rPr>
              <w:t xml:space="preserve"> </w:t>
            </w:r>
            <w:r>
              <w:rPr>
                <w:sz w:val="24"/>
              </w:rPr>
              <w:t>data</w:t>
            </w:r>
            <w:r>
              <w:rPr>
                <w:spacing w:val="-6"/>
                <w:sz w:val="24"/>
              </w:rPr>
              <w:t xml:space="preserve"> </w:t>
            </w:r>
            <w:r>
              <w:rPr>
                <w:sz w:val="24"/>
              </w:rPr>
              <w:t>collection</w:t>
            </w:r>
            <w:r>
              <w:rPr>
                <w:spacing w:val="-5"/>
                <w:sz w:val="24"/>
              </w:rPr>
              <w:t xml:space="preserve"> </w:t>
            </w:r>
            <w:r>
              <w:rPr>
                <w:spacing w:val="-2"/>
                <w:sz w:val="24"/>
              </w:rPr>
              <w:t>support</w:t>
            </w:r>
          </w:p>
        </w:tc>
        <w:tc>
          <w:tcPr>
            <w:tcW w:w="3674" w:type="dxa"/>
          </w:tcPr>
          <w:p>
            <w:pPr>
              <w:pStyle w:val="TableParagraph"/>
              <w:spacing w:before="0"/>
              <w:jc w:val="left"/>
              <w:rPr>
                <w:sz w:val="22"/>
              </w:rPr>
            </w:pPr>
          </w:p>
        </w:tc>
      </w:tr>
      <w:tr>
        <w:tblPrEx>
          <w:tblW w:w="0" w:type="auto"/>
          <w:jc w:val="left"/>
          <w:tblInd w:w="250" w:type="dxa"/>
          <w:tblLayout w:type="fixed"/>
          <w:tblCellMar>
            <w:top w:w="0" w:type="dxa"/>
            <w:left w:w="0" w:type="dxa"/>
            <w:bottom w:w="0" w:type="dxa"/>
            <w:right w:w="0" w:type="dxa"/>
          </w:tblCellMar>
          <w:tblLook w:val="01E0"/>
        </w:tblPrEx>
        <w:trPr>
          <w:trHeight w:val="357"/>
          <w:jc w:val="left"/>
        </w:trPr>
        <w:tc>
          <w:tcPr>
            <w:tcW w:w="5935" w:type="dxa"/>
          </w:tcPr>
          <w:p>
            <w:pPr>
              <w:pStyle w:val="TableParagraph"/>
              <w:ind w:left="83"/>
              <w:jc w:val="left"/>
              <w:rPr>
                <w:sz w:val="24"/>
              </w:rPr>
            </w:pPr>
            <w:r>
              <w:rPr>
                <w:sz w:val="24"/>
              </w:rPr>
              <w:t>GS-13</w:t>
            </w:r>
            <w:r>
              <w:rPr>
                <w:spacing w:val="-1"/>
                <w:sz w:val="24"/>
              </w:rPr>
              <w:t xml:space="preserve"> </w:t>
            </w:r>
            <w:r>
              <w:rPr>
                <w:sz w:val="24"/>
              </w:rPr>
              <w:t>(step</w:t>
            </w:r>
            <w:r>
              <w:rPr>
                <w:spacing w:val="-1"/>
                <w:sz w:val="24"/>
              </w:rPr>
              <w:t xml:space="preserve"> </w:t>
            </w:r>
            <w:r>
              <w:rPr>
                <w:sz w:val="24"/>
              </w:rPr>
              <w:t>7): 2</w:t>
            </w:r>
            <w:r>
              <w:rPr>
                <w:spacing w:val="-2"/>
                <w:sz w:val="24"/>
              </w:rPr>
              <w:t xml:space="preserve"> </w:t>
            </w:r>
            <w:r>
              <w:rPr>
                <w:sz w:val="24"/>
              </w:rPr>
              <w:t>×</w:t>
            </w:r>
            <w:r>
              <w:rPr>
                <w:spacing w:val="-2"/>
                <w:sz w:val="24"/>
              </w:rPr>
              <w:t xml:space="preserve"> </w:t>
            </w:r>
            <w:r>
              <w:rPr>
                <w:sz w:val="24"/>
              </w:rPr>
              <w:t>$104.56 ×</w:t>
            </w:r>
            <w:r>
              <w:rPr>
                <w:spacing w:val="-2"/>
                <w:sz w:val="24"/>
              </w:rPr>
              <w:t xml:space="preserve"> </w:t>
            </w:r>
            <w:r>
              <w:rPr>
                <w:sz w:val="24"/>
              </w:rPr>
              <w:t xml:space="preserve">624 </w:t>
            </w:r>
            <w:r>
              <w:rPr>
                <w:spacing w:val="-4"/>
                <w:sz w:val="24"/>
              </w:rPr>
              <w:t>hours</w:t>
            </w:r>
          </w:p>
        </w:tc>
        <w:tc>
          <w:tcPr>
            <w:tcW w:w="3674" w:type="dxa"/>
          </w:tcPr>
          <w:p>
            <w:pPr>
              <w:pStyle w:val="TableParagraph"/>
              <w:ind w:left="119" w:right="6"/>
              <w:rPr>
                <w:sz w:val="24"/>
              </w:rPr>
            </w:pPr>
            <w:r>
              <w:rPr>
                <w:spacing w:val="-2"/>
                <w:sz w:val="24"/>
              </w:rPr>
              <w:t>$130,490.88</w:t>
            </w:r>
          </w:p>
        </w:tc>
      </w:tr>
      <w:tr>
        <w:tblPrEx>
          <w:tblW w:w="0" w:type="auto"/>
          <w:jc w:val="left"/>
          <w:tblInd w:w="250" w:type="dxa"/>
          <w:tblLayout w:type="fixed"/>
          <w:tblCellMar>
            <w:top w:w="0" w:type="dxa"/>
            <w:left w:w="0" w:type="dxa"/>
            <w:bottom w:w="0" w:type="dxa"/>
            <w:right w:w="0" w:type="dxa"/>
          </w:tblCellMar>
          <w:tblLook w:val="01E0"/>
        </w:tblPrEx>
        <w:trPr>
          <w:trHeight w:val="354"/>
          <w:jc w:val="left"/>
        </w:trPr>
        <w:tc>
          <w:tcPr>
            <w:tcW w:w="5935" w:type="dxa"/>
          </w:tcPr>
          <w:p>
            <w:pPr>
              <w:pStyle w:val="TableParagraph"/>
              <w:ind w:left="83"/>
              <w:jc w:val="left"/>
              <w:rPr>
                <w:b/>
                <w:sz w:val="24"/>
              </w:rPr>
            </w:pPr>
            <w:r>
              <w:rPr>
                <w:b/>
                <w:sz w:val="24"/>
              </w:rPr>
              <w:t>Total</w:t>
            </w:r>
            <w:r>
              <w:rPr>
                <w:b/>
                <w:spacing w:val="-2"/>
                <w:sz w:val="24"/>
              </w:rPr>
              <w:t xml:space="preserve"> </w:t>
            </w:r>
            <w:r>
              <w:rPr>
                <w:b/>
                <w:sz w:val="24"/>
              </w:rPr>
              <w:t>Cost</w:t>
            </w:r>
            <w:r>
              <w:rPr>
                <w:b/>
                <w:spacing w:val="-4"/>
                <w:sz w:val="24"/>
              </w:rPr>
              <w:t xml:space="preserve"> </w:t>
            </w:r>
            <w:r>
              <w:rPr>
                <w:b/>
                <w:sz w:val="24"/>
              </w:rPr>
              <w:t>to</w:t>
            </w:r>
            <w:r>
              <w:rPr>
                <w:b/>
                <w:spacing w:val="-1"/>
                <w:sz w:val="24"/>
              </w:rPr>
              <w:t xml:space="preserve"> </w:t>
            </w:r>
            <w:r>
              <w:rPr>
                <w:b/>
                <w:spacing w:val="-2"/>
                <w:sz w:val="24"/>
              </w:rPr>
              <w:t>Government</w:t>
            </w:r>
          </w:p>
        </w:tc>
        <w:tc>
          <w:tcPr>
            <w:tcW w:w="3674" w:type="dxa"/>
          </w:tcPr>
          <w:p>
            <w:pPr>
              <w:pStyle w:val="TableParagraph"/>
              <w:ind w:left="119" w:right="6"/>
              <w:rPr>
                <w:b/>
                <w:sz w:val="24"/>
              </w:rPr>
            </w:pPr>
            <w:r>
              <w:rPr>
                <w:b/>
                <w:spacing w:val="-2"/>
                <w:sz w:val="24"/>
              </w:rPr>
              <w:t>$130,490.88</w:t>
            </w:r>
          </w:p>
        </w:tc>
      </w:tr>
    </w:tbl>
    <w:p>
      <w:pPr>
        <w:pStyle w:val="ListParagraph"/>
        <w:numPr>
          <w:ilvl w:val="1"/>
          <w:numId w:val="1"/>
        </w:numPr>
        <w:tabs>
          <w:tab w:val="left" w:pos="787"/>
        </w:tabs>
        <w:spacing w:before="219" w:after="0" w:line="240" w:lineRule="auto"/>
        <w:ind w:left="787" w:right="0" w:hanging="547"/>
        <w:jc w:val="left"/>
        <w:rPr>
          <w:i/>
          <w:sz w:val="24"/>
        </w:rPr>
      </w:pPr>
      <w:bookmarkStart w:id="18" w:name="15. Changes to Burden "/>
      <w:bookmarkEnd w:id="18"/>
      <w:r>
        <w:rPr>
          <w:i/>
          <w:sz w:val="24"/>
        </w:rPr>
        <w:t>Changes</w:t>
      </w:r>
      <w:r>
        <w:rPr>
          <w:i/>
          <w:spacing w:val="-1"/>
          <w:sz w:val="24"/>
        </w:rPr>
        <w:t xml:space="preserve"> </w:t>
      </w:r>
      <w:r>
        <w:rPr>
          <w:i/>
          <w:sz w:val="24"/>
        </w:rPr>
        <w:t xml:space="preserve">to </w:t>
      </w:r>
      <w:r>
        <w:rPr>
          <w:i/>
          <w:spacing w:val="-2"/>
          <w:sz w:val="24"/>
        </w:rPr>
        <w:t>Burden</w:t>
      </w:r>
    </w:p>
    <w:p>
      <w:pPr>
        <w:pStyle w:val="BodyText"/>
        <w:ind w:left="240"/>
      </w:pPr>
      <w:r>
        <w:t>There</w:t>
      </w:r>
      <w:r>
        <w:rPr>
          <w:spacing w:val="-2"/>
        </w:rPr>
        <w:t xml:space="preserve"> </w:t>
      </w:r>
      <w:r>
        <w:t>is</w:t>
      </w:r>
      <w:r>
        <w:rPr>
          <w:spacing w:val="-1"/>
        </w:rPr>
        <w:t xml:space="preserve"> </w:t>
      </w:r>
      <w:r>
        <w:t>an</w:t>
      </w:r>
      <w:r>
        <w:rPr>
          <w:spacing w:val="-1"/>
        </w:rPr>
        <w:t xml:space="preserve"> </w:t>
      </w:r>
      <w:r>
        <w:t>overall</w:t>
      </w:r>
      <w:r>
        <w:rPr>
          <w:spacing w:val="-1"/>
        </w:rPr>
        <w:t xml:space="preserve"> </w:t>
      </w:r>
      <w:r>
        <w:t>increase</w:t>
      </w:r>
      <w:r>
        <w:rPr>
          <w:spacing w:val="-2"/>
        </w:rPr>
        <w:t xml:space="preserve"> </w:t>
      </w:r>
      <w:r>
        <w:t>in</w:t>
      </w:r>
      <w:r>
        <w:rPr>
          <w:spacing w:val="-1"/>
        </w:rPr>
        <w:t xml:space="preserve"> </w:t>
      </w:r>
      <w:r>
        <w:t>the</w:t>
      </w:r>
      <w:r>
        <w:rPr>
          <w:spacing w:val="-1"/>
        </w:rPr>
        <w:t xml:space="preserve"> </w:t>
      </w:r>
      <w:r>
        <w:t>financial</w:t>
      </w:r>
      <w:r>
        <w:rPr>
          <w:spacing w:val="-1"/>
        </w:rPr>
        <w:t xml:space="preserve"> </w:t>
      </w:r>
      <w:r>
        <w:t>burden</w:t>
      </w:r>
      <w:r>
        <w:rPr>
          <w:spacing w:val="1"/>
        </w:rPr>
        <w:t xml:space="preserve"> </w:t>
      </w:r>
      <w:r>
        <w:t>from</w:t>
      </w:r>
      <w:r>
        <w:rPr>
          <w:spacing w:val="-1"/>
        </w:rPr>
        <w:t xml:space="preserve"> </w:t>
      </w:r>
      <w:r>
        <w:t>the</w:t>
      </w:r>
      <w:r>
        <w:rPr>
          <w:spacing w:val="-2"/>
        </w:rPr>
        <w:t xml:space="preserve"> </w:t>
      </w:r>
      <w:r>
        <w:t>2023</w:t>
      </w:r>
      <w:r>
        <w:rPr>
          <w:spacing w:val="-1"/>
        </w:rPr>
        <w:t xml:space="preserve"> </w:t>
      </w:r>
      <w:r>
        <w:t>PRA</w:t>
      </w:r>
      <w:r>
        <w:rPr>
          <w:spacing w:val="-2"/>
        </w:rPr>
        <w:t xml:space="preserve"> </w:t>
      </w:r>
      <w:r>
        <w:t>package</w:t>
      </w:r>
      <w:r>
        <w:rPr>
          <w:spacing w:val="-1"/>
        </w:rPr>
        <w:t xml:space="preserve"> </w:t>
      </w:r>
      <w:r>
        <w:rPr>
          <w:spacing w:val="-4"/>
        </w:rPr>
        <w:t>from</w:t>
      </w:r>
    </w:p>
    <w:p>
      <w:pPr>
        <w:pStyle w:val="BodyText"/>
        <w:spacing w:before="0"/>
        <w:ind w:left="240" w:right="229"/>
      </w:pPr>
      <w:r>
        <w:t>$38,366,360.65 to $41,799,653.72, which is an increase of $3,433,293.07. This is because of an increase in the hourly labor costs. All prior iterations of wage data was based on mean values and the</w:t>
      </w:r>
      <w:r>
        <w:rPr>
          <w:spacing w:val="-3"/>
        </w:rPr>
        <w:t xml:space="preserve"> </w:t>
      </w:r>
      <w:r>
        <w:t>current</w:t>
      </w:r>
      <w:r>
        <w:rPr>
          <w:spacing w:val="-2"/>
        </w:rPr>
        <w:t xml:space="preserve"> </w:t>
      </w:r>
      <w:r>
        <w:t>iteration</w:t>
      </w:r>
      <w:r>
        <w:rPr>
          <w:spacing w:val="-2"/>
        </w:rPr>
        <w:t xml:space="preserve"> </w:t>
      </w:r>
      <w:r>
        <w:t>is</w:t>
      </w:r>
      <w:r>
        <w:rPr>
          <w:spacing w:val="-2"/>
        </w:rPr>
        <w:t xml:space="preserve"> </w:t>
      </w:r>
      <w:r>
        <w:t>based</w:t>
      </w:r>
      <w:r>
        <w:rPr>
          <w:spacing w:val="-2"/>
        </w:rPr>
        <w:t xml:space="preserve"> </w:t>
      </w:r>
      <w:r>
        <w:t>on</w:t>
      </w:r>
      <w:r>
        <w:rPr>
          <w:spacing w:val="-2"/>
        </w:rPr>
        <w:t xml:space="preserve"> </w:t>
      </w:r>
      <w:r>
        <w:t>median</w:t>
      </w:r>
      <w:r>
        <w:rPr>
          <w:spacing w:val="-2"/>
        </w:rPr>
        <w:t xml:space="preserve"> </w:t>
      </w:r>
      <w:r>
        <w:t>values.</w:t>
      </w:r>
      <w:r>
        <w:rPr>
          <w:spacing w:val="-2"/>
        </w:rPr>
        <w:t xml:space="preserve"> </w:t>
      </w:r>
      <w:r>
        <w:t>There</w:t>
      </w:r>
      <w:r>
        <w:rPr>
          <w:spacing w:val="-3"/>
        </w:rPr>
        <w:t xml:space="preserve"> </w:t>
      </w:r>
      <w:r>
        <w:t>is</w:t>
      </w:r>
      <w:r>
        <w:rPr>
          <w:spacing w:val="-2"/>
        </w:rPr>
        <w:t xml:space="preserve"> </w:t>
      </w:r>
      <w:r>
        <w:t>no</w:t>
      </w:r>
      <w:r>
        <w:rPr>
          <w:spacing w:val="-2"/>
        </w:rPr>
        <w:t xml:space="preserve"> </w:t>
      </w:r>
      <w:r>
        <w:t>change</w:t>
      </w:r>
      <w:r>
        <w:rPr>
          <w:spacing w:val="-3"/>
        </w:rPr>
        <w:t xml:space="preserve"> </w:t>
      </w:r>
      <w:r>
        <w:t>in</w:t>
      </w:r>
      <w:r>
        <w:rPr>
          <w:spacing w:val="-2"/>
        </w:rPr>
        <w:t xml:space="preserve"> </w:t>
      </w:r>
      <w:r>
        <w:t>the</w:t>
      </w:r>
      <w:r>
        <w:rPr>
          <w:spacing w:val="-3"/>
        </w:rPr>
        <w:t xml:space="preserve"> </w:t>
      </w:r>
      <w:r>
        <w:t>number</w:t>
      </w:r>
      <w:r>
        <w:rPr>
          <w:spacing w:val="-3"/>
        </w:rPr>
        <w:t xml:space="preserve"> </w:t>
      </w:r>
      <w:r>
        <w:t>of</w:t>
      </w:r>
      <w:r>
        <w:rPr>
          <w:spacing w:val="-3"/>
        </w:rPr>
        <w:t xml:space="preserve"> </w:t>
      </w:r>
      <w:r>
        <w:t>respondents</w:t>
      </w:r>
      <w:r>
        <w:rPr>
          <w:spacing w:val="-2"/>
        </w:rPr>
        <w:t xml:space="preserve"> </w:t>
      </w:r>
      <w:r>
        <w:t>or burden hours.</w:t>
      </w:r>
    </w:p>
    <w:p>
      <w:pPr>
        <w:pStyle w:val="ListParagraph"/>
        <w:numPr>
          <w:ilvl w:val="1"/>
          <w:numId w:val="1"/>
        </w:numPr>
        <w:tabs>
          <w:tab w:val="left" w:pos="787"/>
        </w:tabs>
        <w:spacing w:before="240" w:after="0" w:line="240" w:lineRule="auto"/>
        <w:ind w:left="787" w:right="0" w:hanging="547"/>
        <w:jc w:val="left"/>
        <w:rPr>
          <w:i/>
          <w:sz w:val="24"/>
        </w:rPr>
      </w:pPr>
      <w:bookmarkStart w:id="19" w:name="16. Publication/Tabulation Dates "/>
      <w:bookmarkEnd w:id="19"/>
      <w:r>
        <w:rPr>
          <w:i/>
          <w:sz w:val="24"/>
        </w:rPr>
        <w:t>Publication/Tabulation</w:t>
      </w:r>
      <w:r>
        <w:rPr>
          <w:i/>
          <w:spacing w:val="-7"/>
          <w:sz w:val="24"/>
        </w:rPr>
        <w:t xml:space="preserve"> </w:t>
      </w:r>
      <w:r>
        <w:rPr>
          <w:i/>
          <w:spacing w:val="-4"/>
          <w:sz w:val="24"/>
        </w:rPr>
        <w:t>Dates</w:t>
      </w:r>
    </w:p>
    <w:p>
      <w:pPr>
        <w:spacing w:before="171"/>
        <w:ind w:left="240" w:right="229" w:firstLine="0"/>
        <w:jc w:val="left"/>
        <w:rPr>
          <w:sz w:val="23"/>
        </w:rPr>
      </w:pPr>
      <w:r>
        <w:rPr>
          <w:sz w:val="24"/>
        </w:rPr>
        <w:t>Results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collection</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made</w:t>
      </w:r>
      <w:r>
        <w:rPr>
          <w:spacing w:val="-3"/>
          <w:sz w:val="24"/>
        </w:rPr>
        <w:t xml:space="preserve"> </w:t>
      </w:r>
      <w:r>
        <w:rPr>
          <w:sz w:val="24"/>
        </w:rPr>
        <w:t>public</w:t>
      </w:r>
      <w:r>
        <w:rPr>
          <w:spacing w:val="-3"/>
          <w:sz w:val="24"/>
        </w:rPr>
        <w:t xml:space="preserve"> </w:t>
      </w:r>
      <w:r>
        <w:rPr>
          <w:sz w:val="24"/>
        </w:rPr>
        <w:t>as</w:t>
      </w:r>
      <w:r>
        <w:rPr>
          <w:spacing w:val="-2"/>
          <w:sz w:val="24"/>
        </w:rPr>
        <w:t xml:space="preserve"> </w:t>
      </w:r>
      <w:r>
        <w:rPr>
          <w:sz w:val="24"/>
        </w:rPr>
        <w:t>the</w:t>
      </w:r>
      <w:r>
        <w:rPr>
          <w:spacing w:val="-3"/>
          <w:sz w:val="24"/>
        </w:rPr>
        <w:t xml:space="preserve"> </w:t>
      </w:r>
      <w:r>
        <w:rPr>
          <w:sz w:val="24"/>
        </w:rPr>
        <w:t>primary</w:t>
      </w:r>
      <w:r>
        <w:rPr>
          <w:spacing w:val="-2"/>
          <w:sz w:val="24"/>
        </w:rPr>
        <w:t xml:space="preserve"> </w:t>
      </w:r>
      <w:r>
        <w:rPr>
          <w:sz w:val="24"/>
        </w:rPr>
        <w:t>notifications</w:t>
      </w:r>
      <w:r>
        <w:rPr>
          <w:spacing w:val="-2"/>
          <w:sz w:val="24"/>
        </w:rPr>
        <w:t xml:space="preserve"> </w:t>
      </w:r>
      <w:r>
        <w:rPr>
          <w:sz w:val="24"/>
        </w:rPr>
        <w:t>are</w:t>
      </w:r>
      <w:r>
        <w:rPr>
          <w:spacing w:val="-3"/>
          <w:sz w:val="24"/>
        </w:rPr>
        <w:t xml:space="preserve"> </w:t>
      </w:r>
      <w:r>
        <w:rPr>
          <w:sz w:val="24"/>
        </w:rPr>
        <w:t>occurring</w:t>
      </w:r>
      <w:r>
        <w:rPr>
          <w:spacing w:val="-2"/>
          <w:sz w:val="24"/>
        </w:rPr>
        <w:t xml:space="preserve"> </w:t>
      </w:r>
      <w:r>
        <w:rPr>
          <w:sz w:val="24"/>
        </w:rPr>
        <w:t xml:space="preserve">between the issuer and then enrollee and </w:t>
      </w:r>
      <w:r>
        <w:rPr>
          <w:sz w:val="23"/>
        </w:rPr>
        <w:t>provider information collected on the NA template in MPMS, which are</w:t>
      </w:r>
      <w:r>
        <w:rPr>
          <w:spacing w:val="-2"/>
          <w:sz w:val="23"/>
        </w:rPr>
        <w:t xml:space="preserve"> </w:t>
      </w:r>
      <w:r>
        <w:rPr>
          <w:sz w:val="23"/>
        </w:rPr>
        <w:t>submitted</w:t>
      </w:r>
      <w:r>
        <w:rPr>
          <w:spacing w:val="-3"/>
          <w:sz w:val="23"/>
        </w:rPr>
        <w:t xml:space="preserve"> </w:t>
      </w:r>
      <w:r>
        <w:rPr>
          <w:sz w:val="23"/>
        </w:rPr>
        <w:t>by</w:t>
      </w:r>
      <w:r>
        <w:rPr>
          <w:spacing w:val="-6"/>
          <w:sz w:val="23"/>
        </w:rPr>
        <w:t xml:space="preserve"> </w:t>
      </w:r>
      <w:r>
        <w:rPr>
          <w:sz w:val="23"/>
        </w:rPr>
        <w:t>issuers</w:t>
      </w:r>
      <w:r>
        <w:rPr>
          <w:spacing w:val="-4"/>
          <w:sz w:val="23"/>
        </w:rPr>
        <w:t xml:space="preserve"> </w:t>
      </w:r>
      <w:r>
        <w:rPr>
          <w:sz w:val="23"/>
        </w:rPr>
        <w:t>that</w:t>
      </w:r>
      <w:r>
        <w:rPr>
          <w:spacing w:val="-3"/>
          <w:sz w:val="23"/>
        </w:rPr>
        <w:t xml:space="preserve"> </w:t>
      </w:r>
      <w:r>
        <w:rPr>
          <w:sz w:val="23"/>
        </w:rPr>
        <w:t>CMS</w:t>
      </w:r>
      <w:r>
        <w:rPr>
          <w:spacing w:val="-4"/>
          <w:sz w:val="23"/>
        </w:rPr>
        <w:t xml:space="preserve"> </w:t>
      </w:r>
      <w:r>
        <w:rPr>
          <w:sz w:val="23"/>
        </w:rPr>
        <w:t>may</w:t>
      </w:r>
      <w:r>
        <w:rPr>
          <w:spacing w:val="-6"/>
          <w:sz w:val="23"/>
        </w:rPr>
        <w:t xml:space="preserve"> </w:t>
      </w:r>
      <w:r>
        <w:rPr>
          <w:sz w:val="23"/>
        </w:rPr>
        <w:t>rely</w:t>
      </w:r>
      <w:r>
        <w:rPr>
          <w:spacing w:val="-6"/>
          <w:sz w:val="23"/>
        </w:rPr>
        <w:t xml:space="preserve"> </w:t>
      </w:r>
      <w:r>
        <w:rPr>
          <w:sz w:val="23"/>
        </w:rPr>
        <w:t>on,</w:t>
      </w:r>
      <w:r>
        <w:rPr>
          <w:spacing w:val="-3"/>
          <w:sz w:val="23"/>
        </w:rPr>
        <w:t xml:space="preserve"> </w:t>
      </w:r>
      <w:r>
        <w:rPr>
          <w:sz w:val="23"/>
        </w:rPr>
        <w:t>is</w:t>
      </w:r>
      <w:r>
        <w:rPr>
          <w:spacing w:val="-4"/>
          <w:sz w:val="23"/>
        </w:rPr>
        <w:t xml:space="preserve"> </w:t>
      </w:r>
      <w:r>
        <w:rPr>
          <w:sz w:val="23"/>
        </w:rPr>
        <w:t>used</w:t>
      </w:r>
      <w:r>
        <w:rPr>
          <w:spacing w:val="-3"/>
          <w:sz w:val="23"/>
        </w:rPr>
        <w:t xml:space="preserve"> </w:t>
      </w:r>
      <w:r>
        <w:rPr>
          <w:sz w:val="23"/>
        </w:rPr>
        <w:t>to</w:t>
      </w:r>
      <w:r>
        <w:rPr>
          <w:spacing w:val="-6"/>
          <w:sz w:val="23"/>
        </w:rPr>
        <w:t xml:space="preserve"> </w:t>
      </w:r>
      <w:r>
        <w:rPr>
          <w:sz w:val="23"/>
        </w:rPr>
        <w:t>assess</w:t>
      </w:r>
      <w:r>
        <w:rPr>
          <w:spacing w:val="-4"/>
          <w:sz w:val="23"/>
        </w:rPr>
        <w:t xml:space="preserve"> </w:t>
      </w:r>
      <w:r>
        <w:rPr>
          <w:sz w:val="23"/>
        </w:rPr>
        <w:t>compliance</w:t>
      </w:r>
      <w:r>
        <w:rPr>
          <w:spacing w:val="-5"/>
          <w:sz w:val="23"/>
        </w:rPr>
        <w:t xml:space="preserve"> </w:t>
      </w:r>
      <w:r>
        <w:rPr>
          <w:sz w:val="23"/>
        </w:rPr>
        <w:t>with</w:t>
      </w:r>
      <w:r>
        <w:rPr>
          <w:spacing w:val="-3"/>
          <w:sz w:val="23"/>
        </w:rPr>
        <w:t xml:space="preserve"> </w:t>
      </w:r>
      <w:r>
        <w:rPr>
          <w:sz w:val="23"/>
        </w:rPr>
        <w:t>network</w:t>
      </w:r>
      <w:r>
        <w:rPr>
          <w:spacing w:val="-3"/>
          <w:sz w:val="23"/>
        </w:rPr>
        <w:t xml:space="preserve"> </w:t>
      </w:r>
      <w:r>
        <w:rPr>
          <w:sz w:val="23"/>
        </w:rPr>
        <w:t>adequacy</w:t>
      </w:r>
      <w:r>
        <w:rPr>
          <w:spacing w:val="-11"/>
          <w:sz w:val="23"/>
        </w:rPr>
        <w:t xml:space="preserve"> </w:t>
      </w:r>
      <w:r>
        <w:rPr>
          <w:sz w:val="23"/>
        </w:rPr>
        <w:t>for the purpose of the QHP certification process. These data are not made public.</w:t>
      </w:r>
    </w:p>
    <w:p>
      <w:pPr>
        <w:pStyle w:val="ListParagraph"/>
        <w:numPr>
          <w:ilvl w:val="1"/>
          <w:numId w:val="1"/>
        </w:numPr>
        <w:tabs>
          <w:tab w:val="left" w:pos="787"/>
        </w:tabs>
        <w:spacing w:before="239" w:after="0" w:line="240" w:lineRule="auto"/>
        <w:ind w:left="787" w:right="0" w:hanging="547"/>
        <w:jc w:val="left"/>
        <w:rPr>
          <w:i/>
          <w:sz w:val="24"/>
        </w:rPr>
      </w:pPr>
      <w:bookmarkStart w:id="20" w:name="17. Expiration Date "/>
      <w:bookmarkEnd w:id="20"/>
      <w:r>
        <w:rPr>
          <w:i/>
          <w:sz w:val="24"/>
        </w:rPr>
        <w:t>Expiration</w:t>
      </w:r>
      <w:r>
        <w:rPr>
          <w:i/>
          <w:spacing w:val="-2"/>
          <w:sz w:val="24"/>
        </w:rPr>
        <w:t xml:space="preserve"> </w:t>
      </w:r>
      <w:r>
        <w:rPr>
          <w:i/>
          <w:spacing w:val="-4"/>
          <w:sz w:val="24"/>
        </w:rPr>
        <w:t>Date</w:t>
      </w:r>
    </w:p>
    <w:p>
      <w:pPr>
        <w:pStyle w:val="BodyText"/>
        <w:ind w:left="240"/>
      </w:pPr>
      <w:r>
        <w:t>There</w:t>
      </w:r>
      <w:r>
        <w:rPr>
          <w:spacing w:val="-10"/>
        </w:rPr>
        <w:t xml:space="preserve"> </w:t>
      </w:r>
      <w:r>
        <w:t>are</w:t>
      </w:r>
      <w:r>
        <w:rPr>
          <w:spacing w:val="-11"/>
        </w:rPr>
        <w:t xml:space="preserve"> </w:t>
      </w:r>
      <w:r>
        <w:t>no</w:t>
      </w:r>
      <w:r>
        <w:rPr>
          <w:spacing w:val="-9"/>
        </w:rPr>
        <w:t xml:space="preserve"> </w:t>
      </w:r>
      <w:r>
        <w:t>instruments</w:t>
      </w:r>
      <w:r>
        <w:rPr>
          <w:spacing w:val="-9"/>
        </w:rPr>
        <w:t xml:space="preserve"> </w:t>
      </w:r>
      <w:r>
        <w:t>associated</w:t>
      </w:r>
      <w:r>
        <w:rPr>
          <w:spacing w:val="-10"/>
        </w:rPr>
        <w:t xml:space="preserve"> </w:t>
      </w:r>
      <w:r>
        <w:t>with</w:t>
      </w:r>
      <w:r>
        <w:rPr>
          <w:spacing w:val="-11"/>
        </w:rPr>
        <w:t xml:space="preserve"> </w:t>
      </w:r>
      <w:r>
        <w:t>this</w:t>
      </w:r>
      <w:r>
        <w:rPr>
          <w:spacing w:val="-9"/>
        </w:rPr>
        <w:t xml:space="preserve"> </w:t>
      </w:r>
      <w:r>
        <w:t>data</w:t>
      </w:r>
      <w:r>
        <w:rPr>
          <w:spacing w:val="-12"/>
        </w:rPr>
        <w:t xml:space="preserve"> </w:t>
      </w:r>
      <w:r>
        <w:rPr>
          <w:spacing w:val="-2"/>
        </w:rPr>
        <w:t>collection.</w:t>
      </w:r>
    </w:p>
    <w:p>
      <w:pPr>
        <w:pStyle w:val="ListParagraph"/>
        <w:numPr>
          <w:ilvl w:val="1"/>
          <w:numId w:val="1"/>
        </w:numPr>
        <w:tabs>
          <w:tab w:val="left" w:pos="787"/>
        </w:tabs>
        <w:spacing w:before="240" w:after="0" w:line="240" w:lineRule="auto"/>
        <w:ind w:left="787" w:right="0" w:hanging="548"/>
        <w:jc w:val="left"/>
        <w:rPr>
          <w:i/>
          <w:sz w:val="24"/>
        </w:rPr>
      </w:pPr>
      <w:bookmarkStart w:id="21" w:name="18. Certification Statement "/>
      <w:bookmarkEnd w:id="21"/>
      <w:r>
        <w:rPr>
          <w:i/>
          <w:sz w:val="24"/>
        </w:rPr>
        <w:t>Certification</w:t>
      </w:r>
      <w:r>
        <w:rPr>
          <w:i/>
          <w:spacing w:val="-4"/>
          <w:sz w:val="24"/>
        </w:rPr>
        <w:t xml:space="preserve"> </w:t>
      </w:r>
      <w:r>
        <w:rPr>
          <w:i/>
          <w:spacing w:val="-2"/>
          <w:sz w:val="24"/>
        </w:rPr>
        <w:t>Statement</w:t>
      </w:r>
    </w:p>
    <w:p>
      <w:pPr>
        <w:pStyle w:val="BodyText"/>
        <w:spacing w:before="171"/>
      </w:pPr>
      <w:r>
        <w:t>There</w:t>
      </w:r>
      <w:r>
        <w:rPr>
          <w:spacing w:val="-1"/>
        </w:rPr>
        <w:t xml:space="preserve"> </w:t>
      </w:r>
      <w:r>
        <w:t>are</w:t>
      </w:r>
      <w:r>
        <w:rPr>
          <w:spacing w:val="-2"/>
        </w:rPr>
        <w:t xml:space="preserve"> </w:t>
      </w:r>
      <w:r>
        <w:t>no exceptions</w:t>
      </w:r>
      <w:r>
        <w:rPr>
          <w:spacing w:val="-1"/>
        </w:rPr>
        <w:t xml:space="preserve"> </w:t>
      </w:r>
      <w:r>
        <w:t>to</w:t>
      </w:r>
      <w:r>
        <w:rPr>
          <w:spacing w:val="-3"/>
        </w:rPr>
        <w:t xml:space="preserve"> </w:t>
      </w:r>
      <w:r>
        <w:t>the</w:t>
      </w:r>
      <w:r>
        <w:rPr>
          <w:spacing w:val="-2"/>
        </w:rPr>
        <w:t xml:space="preserve"> </w:t>
      </w:r>
      <w:r>
        <w:t>certification</w:t>
      </w:r>
      <w:r>
        <w:rPr>
          <w:spacing w:val="-1"/>
        </w:rPr>
        <w:t xml:space="preserve"> </w:t>
      </w:r>
      <w:r>
        <w:rPr>
          <w:spacing w:val="-2"/>
        </w:rPr>
        <w:t>statement.</w:t>
      </w:r>
    </w:p>
    <w:sectPr>
      <w:pgSz w:w="12240" w:h="15840"/>
      <w:pgMar w:top="1560" w:right="1080" w:bottom="1380" w:left="1080" w:header="0" w:footer="118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rPr>
        <w:sz w:val="20"/>
      </w:rPr>
    </w:pPr>
    <w:r>
      <w:rPr>
        <w:sz w:val="20"/>
      </w:rPr>
      <mc:AlternateContent>
        <mc:Choice Requires="wps">
          <w:drawing>
            <wp:anchor distT="0" distB="0" distL="0" distR="0" simplePos="0" relativeHeight="251658240" behindDoc="1" locked="0" layoutInCell="1" allowOverlap="1">
              <wp:simplePos x="0" y="0"/>
              <wp:positionH relativeFrom="page">
                <wp:posOffset>3816096</wp:posOffset>
              </wp:positionH>
              <wp:positionV relativeFrom="page">
                <wp:posOffset>9167706</wp:posOffset>
              </wp:positionV>
              <wp:extent cx="1651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3pt;height:15.3pt;margin-top:721.87pt;margin-left:300.48pt;mso-position-horizontal-relative:page;mso-position-vertical-relative:page;position:absolute;z-index:-251657216" filled="f" stroked="f">
              <v:textbox inset="0,0,0,0">
                <w:txbxContent>
                  <w:p>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3E7569"/>
    <w:multiLevelType w:val="hybridMultilevel"/>
    <w:tmpl w:val="00000000"/>
    <w:lvl w:ilvl="0">
      <w:start w:val="1"/>
      <w:numFmt w:val="upperLetter"/>
      <w:lvlText w:val="%1."/>
      <w:lvlJc w:val="left"/>
      <w:pPr>
        <w:ind w:left="787" w:hanging="548"/>
        <w:jc w:val="left"/>
      </w:pPr>
      <w:rPr>
        <w:rFonts w:ascii="Times New Roman" w:eastAsia="Times New Roman" w:hAnsi="Times New Roman" w:cs="Times New Roman" w:hint="default"/>
        <w:b/>
        <w:bCs/>
        <w:i w:val="0"/>
        <w:iCs w:val="0"/>
        <w:spacing w:val="-4"/>
        <w:w w:val="98"/>
        <w:sz w:val="24"/>
        <w:szCs w:val="24"/>
        <w:lang w:val="en-US" w:eastAsia="en-US" w:bidi="ar-SA"/>
      </w:rPr>
    </w:lvl>
    <w:lvl w:ilvl="1">
      <w:start w:val="1"/>
      <w:numFmt w:val="decimal"/>
      <w:lvlText w:val="%2."/>
      <w:lvlJc w:val="left"/>
      <w:pPr>
        <w:ind w:left="787" w:hanging="548"/>
        <w:jc w:val="left"/>
      </w:pPr>
      <w:rPr>
        <w:rFonts w:ascii="Times New Roman" w:eastAsia="Times New Roman" w:hAnsi="Times New Roman" w:cs="Times New Roman" w:hint="default"/>
        <w:b w:val="0"/>
        <w:bCs w:val="0"/>
        <w:i/>
        <w:iCs/>
        <w:spacing w:val="0"/>
        <w:w w:val="100"/>
        <w:sz w:val="24"/>
        <w:szCs w:val="24"/>
        <w:lang w:val="en-US" w:eastAsia="en-US" w:bidi="ar-SA"/>
      </w:rPr>
    </w:lvl>
    <w:lvl w:ilvl="2">
      <w:start w:val="0"/>
      <w:numFmt w:val="bullet"/>
      <w:lvlText w:val="•"/>
      <w:lvlJc w:val="left"/>
      <w:pPr>
        <w:ind w:left="2640" w:hanging="548"/>
      </w:pPr>
      <w:rPr>
        <w:rFonts w:hint="default"/>
        <w:lang w:val="en-US" w:eastAsia="en-US" w:bidi="ar-SA"/>
      </w:rPr>
    </w:lvl>
    <w:lvl w:ilvl="3">
      <w:start w:val="0"/>
      <w:numFmt w:val="bullet"/>
      <w:lvlText w:val="•"/>
      <w:lvlJc w:val="left"/>
      <w:pPr>
        <w:ind w:left="3570" w:hanging="548"/>
      </w:pPr>
      <w:rPr>
        <w:rFonts w:hint="default"/>
        <w:lang w:val="en-US" w:eastAsia="en-US" w:bidi="ar-SA"/>
      </w:rPr>
    </w:lvl>
    <w:lvl w:ilvl="4">
      <w:start w:val="0"/>
      <w:numFmt w:val="bullet"/>
      <w:lvlText w:val="•"/>
      <w:lvlJc w:val="left"/>
      <w:pPr>
        <w:ind w:left="4500" w:hanging="548"/>
      </w:pPr>
      <w:rPr>
        <w:rFonts w:hint="default"/>
        <w:lang w:val="en-US" w:eastAsia="en-US" w:bidi="ar-SA"/>
      </w:rPr>
    </w:lvl>
    <w:lvl w:ilvl="5">
      <w:start w:val="0"/>
      <w:numFmt w:val="bullet"/>
      <w:lvlText w:val="•"/>
      <w:lvlJc w:val="left"/>
      <w:pPr>
        <w:ind w:left="5430" w:hanging="548"/>
      </w:pPr>
      <w:rPr>
        <w:rFonts w:hint="default"/>
        <w:lang w:val="en-US" w:eastAsia="en-US" w:bidi="ar-SA"/>
      </w:rPr>
    </w:lvl>
    <w:lvl w:ilvl="6">
      <w:start w:val="0"/>
      <w:numFmt w:val="bullet"/>
      <w:lvlText w:val="•"/>
      <w:lvlJc w:val="left"/>
      <w:pPr>
        <w:ind w:left="6360" w:hanging="548"/>
      </w:pPr>
      <w:rPr>
        <w:rFonts w:hint="default"/>
        <w:lang w:val="en-US" w:eastAsia="en-US" w:bidi="ar-SA"/>
      </w:rPr>
    </w:lvl>
    <w:lvl w:ilvl="7">
      <w:start w:val="0"/>
      <w:numFmt w:val="bullet"/>
      <w:lvlText w:val="•"/>
      <w:lvlJc w:val="left"/>
      <w:pPr>
        <w:ind w:left="7290" w:hanging="548"/>
      </w:pPr>
      <w:rPr>
        <w:rFonts w:hint="default"/>
        <w:lang w:val="en-US" w:eastAsia="en-US" w:bidi="ar-SA"/>
      </w:rPr>
    </w:lvl>
    <w:lvl w:ilvl="8">
      <w:start w:val="0"/>
      <w:numFmt w:val="bullet"/>
      <w:lvlText w:val="•"/>
      <w:lvlJc w:val="left"/>
      <w:pPr>
        <w:ind w:left="8220" w:hanging="54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spacing w:before="59"/>
      <w:ind w:left="2219" w:right="863" w:hanging="1356"/>
      <w:outlineLvl w:val="0"/>
    </w:pPr>
    <w:rPr>
      <w:rFonts w:ascii="Times New Roman" w:eastAsia="Times New Roman" w:hAnsi="Times New Roman" w:cs="Times New Roman"/>
      <w:b/>
      <w:bCs/>
      <w:sz w:val="28"/>
      <w:szCs w:val="28"/>
      <w:lang w:val="en-US" w:eastAsia="en-US" w:bidi="ar-SA"/>
    </w:rPr>
  </w:style>
  <w:style w:type="paragraph" w:styleId="Heading2">
    <w:name w:val="heading 2"/>
    <w:basedOn w:val="Normal"/>
    <w:uiPriority w:val="1"/>
    <w:qFormat/>
    <w:pPr>
      <w:spacing w:before="240"/>
      <w:ind w:left="240"/>
      <w:outlineLvl w:val="1"/>
    </w:pPr>
    <w:rPr>
      <w:rFonts w:ascii="Times New Roman" w:eastAsia="Times New Roman" w:hAnsi="Times New Roman" w:cs="Times New Roman"/>
      <w:b/>
      <w:bCs/>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70"/>
      <w:ind w:left="239"/>
    </w:pPr>
    <w:rPr>
      <w:rFonts w:ascii="Times New Roman" w:eastAsia="Times New Roman" w:hAnsi="Times New Roman" w:cs="Times New Roman"/>
      <w:sz w:val="24"/>
      <w:szCs w:val="24"/>
      <w:lang w:val="en-US" w:eastAsia="en-US" w:bidi="ar-SA"/>
    </w:rPr>
  </w:style>
  <w:style w:type="paragraph" w:styleId="ListParagraph">
    <w:name w:val="List Paragraph"/>
    <w:basedOn w:val="Normal"/>
    <w:uiPriority w:val="1"/>
    <w:qFormat/>
    <w:pPr>
      <w:spacing w:before="240"/>
      <w:ind w:left="787" w:hanging="547"/>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spacing w:before="39"/>
      <w:jc w:val="center"/>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data.bls.gov/oes/%23/industry/000000" TargetMode="External" /><Relationship Id="rId6" Type="http://schemas.openxmlformats.org/officeDocument/2006/relationships/hyperlink" Target="https://www.cms.gov/newsroom/fact-sheets/marketplace-2022-open-enrollment-period-report-final-national-snapshot" TargetMode="External" /><Relationship Id="rId7" Type="http://schemas.openxmlformats.org/officeDocument/2006/relationships/hyperlink" Target="https://www.opm.gov/policy-data-oversight/pay-leave/salaries-wages/salary-tables/26Tables/html/G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Provider Network Coverage Data Collection (CMS-10594/OMB control number: 0938-1302)</dc:title>
  <dc:subject>Supporting Statement for Provider Network Coverage Data Collection (CMS-10594/OMB control number: 0938-1302)</dc:subject>
  <dc:creator>Centers for Medicare &amp; Medicaid Services (CMS)</dc:creator>
  <cp:keywords>supporting statement; CMS; Patient Protection and Affordable Care Act; 2027 Payment Notice Proposed Rule; qualified health plan; QHP issuers; stand-alone dental plans; SADPs; Federally-facilitated Exchanges; FFEs; exception; information collection request; ICR</cp:keywords>
  <cp:revision>0</cp:revision>
  <dcterms:created xsi:type="dcterms:W3CDTF">2026-02-11T18:58:35Z</dcterms:created>
  <dcterms:modified xsi:type="dcterms:W3CDTF">2026-02-11T18:58:35Z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0x0101009E578BCD0A5C2A4BBD05EA6AD5FE1F46</vt:lpwstr>
  </property>
  <property fmtid="{D5CDD505-2E9C-101B-9397-08002B2CF9AE}" pid="3" name="Created">
    <vt:filetime>2026-01-20T00:00:00Z</vt:filetime>
  </property>
  <property fmtid="{D5CDD505-2E9C-101B-9397-08002B2CF9AE}" pid="4" name="Creator">
    <vt:lpwstr>Acrobat PDFMaker 25 for Word</vt:lpwstr>
  </property>
  <property fmtid="{D5CDD505-2E9C-101B-9397-08002B2CF9AE}" pid="5" name="docLang">
    <vt:lpwstr>en</vt:lpwstr>
  </property>
  <property fmtid="{D5CDD505-2E9C-101B-9397-08002B2CF9AE}" pid="6" name="LastSaved">
    <vt:filetime>2026-02-11T00:00:00Z</vt:filetime>
  </property>
  <property fmtid="{D5CDD505-2E9C-101B-9397-08002B2CF9AE}" pid="7" name="MediaServiceImageTags">
    <vt:lpwstr/>
  </property>
  <property fmtid="{D5CDD505-2E9C-101B-9397-08002B2CF9AE}" pid="8" name="Producer">
    <vt:lpwstr>Adobe PDF Library 25.1.5</vt:lpwstr>
  </property>
  <property fmtid="{D5CDD505-2E9C-101B-9397-08002B2CF9AE}" pid="9" name="SourceModified">
    <vt:lpwstr>D:20230119172507</vt:lpwstr>
  </property>
</Properties>
</file>